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Heading1"/>
        <w:ind w:hanging="0" w:start="0"/>
        <w:rPr>
          <w:sz w:val="22"/>
          <w:szCs w:val="22"/>
        </w:rPr>
      </w:pPr>
      <w:r>
        <w:rPr>
          <w:sz w:val="22"/>
          <w:szCs w:val="22"/>
        </w:rPr>
        <w:t>October 25, 2000</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i/>
          <w:i/>
          <w:iCs/>
          <w:sz w:val="22"/>
          <w:szCs w:val="22"/>
        </w:rPr>
      </w:pPr>
      <w:r>
        <w:rPr>
          <w:sz w:val="22"/>
          <w:szCs w:val="22"/>
        </w:rPr>
        <w:t>Dear Northern California Producer:</w:t>
      </w:r>
    </w:p>
    <w:p>
      <w:pPr>
        <w:pStyle w:val="Normal"/>
        <w:rPr>
          <w:i/>
          <w:i/>
          <w:iCs/>
          <w:sz w:val="22"/>
          <w:szCs w:val="22"/>
        </w:rPr>
      </w:pPr>
      <w:r>
        <w:rPr>
          <w:i/>
          <w:iCs/>
          <w:sz w:val="22"/>
          <w:szCs w:val="22"/>
        </w:rPr>
      </w:r>
    </w:p>
    <w:p>
      <w:pPr>
        <w:pStyle w:val="BodyText"/>
        <w:rPr/>
      </w:pPr>
      <w:r>
        <w:rPr/>
        <w:t xml:space="preserve">PG&amp;E is conducting several workshops in preparation for a Gas Accord II settlement proposal.  The Gas Accord II will set the rates and terms and conditions of natural gas transmission service beginning in 2003.  At the kick-off meeting on September 14, 2000, and at subsequent workshops, PG&amp;E requested input from parties pertaining to issues they would like to see addressed in the Gas Accord II process.  PG&amp;E received a response from the California Independent Petroleum Association on behalf of its association members (see Attachment A).  </w:t>
      </w:r>
    </w:p>
    <w:p>
      <w:pPr>
        <w:pStyle w:val="Normal"/>
        <w:rPr>
          <w:sz w:val="22"/>
          <w:szCs w:val="22"/>
        </w:rPr>
      </w:pPr>
      <w:r>
        <w:rPr>
          <w:sz w:val="22"/>
          <w:szCs w:val="22"/>
        </w:rPr>
      </w:r>
    </w:p>
    <w:p>
      <w:pPr>
        <w:pStyle w:val="Normal"/>
        <w:rPr/>
      </w:pPr>
      <w:r>
        <w:rPr>
          <w:b/>
          <w:bCs/>
          <w:sz w:val="22"/>
          <w:szCs w:val="22"/>
        </w:rPr>
        <w:t>PG&amp;E would like to meet to discuss these issues and any other issues you have on November 16, 2000.</w:t>
      </w:r>
      <w:r>
        <w:rPr>
          <w:sz w:val="22"/>
          <w:szCs w:val="22"/>
        </w:rPr>
        <w:t xml:space="preserve">  We will meet at the Courtyard by Marriott, 2101 River Plaza Drive, Sacramento, from 9 a.m. to 1 p.m.  Lunch will be provided.  The purpose of this meeting is to seek a clear understanding of the issues, including the different producer perspectives.  PG&amp;E plans to provide an initial settlement proposal on December 8, 2000; thus, this meeting is an important next step in addressing issues concerning California producers.   This meeting will be conducted under Rule 51 of the California Public Utilities Commission Rules of Practice and Procedure, a copy of which is attached (Attachment B).  Rule 51, as you know, is designed to encourage a frank and open exchange of views, by requiring that matters discussed will be held in confidence by the parties, and by providing statements any party might make at such a meeting will not be introduced into evidence in any current or future regulatory or litigation proceeding.</w:t>
      </w:r>
    </w:p>
    <w:p>
      <w:pPr>
        <w:pStyle w:val="Normal"/>
        <w:rPr>
          <w:sz w:val="22"/>
          <w:szCs w:val="22"/>
        </w:rPr>
      </w:pPr>
      <w:r>
        <w:rPr>
          <w:sz w:val="22"/>
          <w:szCs w:val="22"/>
        </w:rPr>
      </w:r>
    </w:p>
    <w:p>
      <w:pPr>
        <w:pStyle w:val="Normal"/>
        <w:rPr/>
      </w:pPr>
      <w:r>
        <w:rPr>
          <w:sz w:val="22"/>
          <w:szCs w:val="22"/>
          <w:u w:val="single"/>
        </w:rPr>
        <w:t xml:space="preserve">Please RSVP, by November 13, 2000, </w:t>
      </w:r>
      <w:r>
        <w:rPr>
          <w:sz w:val="22"/>
          <w:szCs w:val="22"/>
        </w:rPr>
        <w:t>to Becky Lopez, at 415-973-4399.  If you have questions about our Gas Accord II process or if you would like to add other issues to the list prior to the meeting, please contact Susan Dowling at 415-973-3631.</w:t>
      </w:r>
    </w:p>
    <w:p>
      <w:pPr>
        <w:pStyle w:val="Normal"/>
        <w:rPr>
          <w:sz w:val="22"/>
          <w:szCs w:val="22"/>
        </w:rPr>
      </w:pPr>
      <w:r>
        <w:rPr>
          <w:sz w:val="22"/>
          <w:szCs w:val="22"/>
        </w:rPr>
      </w:r>
    </w:p>
    <w:p>
      <w:pPr>
        <w:pStyle w:val="Normal"/>
        <w:rPr>
          <w:sz w:val="22"/>
          <w:szCs w:val="22"/>
        </w:rPr>
      </w:pPr>
      <w:r>
        <w:rPr>
          <w:sz w:val="22"/>
          <w:szCs w:val="22"/>
        </w:rPr>
        <w:t>Sincerely,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ROD BOSCHEE</w:t>
      </w:r>
    </w:p>
    <w:p>
      <w:pPr>
        <w:pStyle w:val="Normal"/>
        <w:rPr>
          <w:sz w:val="22"/>
          <w:szCs w:val="22"/>
        </w:rPr>
      </w:pPr>
      <w:r>
        <w:rPr>
          <w:sz w:val="22"/>
          <w:szCs w:val="22"/>
        </w:rPr>
        <w:t>Manager, Contract Development and Management</w:t>
      </w:r>
    </w:p>
    <w:p>
      <w:pPr>
        <w:pStyle w:val="Normal"/>
        <w:rPr>
          <w:sz w:val="22"/>
          <w:szCs w:val="22"/>
        </w:rPr>
      </w:pPr>
      <w:r>
        <w:rPr>
          <w:sz w:val="22"/>
          <w:szCs w:val="22"/>
        </w:rPr>
        <w:t>California Gas Transmission</w:t>
      </w:r>
    </w:p>
    <w:p>
      <w:pPr>
        <w:pStyle w:val="Normal"/>
        <w:rPr>
          <w:sz w:val="22"/>
          <w:szCs w:val="22"/>
        </w:rPr>
      </w:pPr>
      <w:r>
        <w:rPr>
          <w:sz w:val="22"/>
          <w:szCs w:val="22"/>
        </w:rPr>
      </w:r>
    </w:p>
    <w:p>
      <w:pPr>
        <w:pStyle w:val="Normal"/>
        <w:rPr>
          <w:sz w:val="22"/>
          <w:szCs w:val="22"/>
        </w:rPr>
      </w:pPr>
      <w:r>
        <w:rPr>
          <w:sz w:val="22"/>
          <w:szCs w:val="22"/>
        </w:rPr>
        <w:t>Attachments</w:t>
      </w:r>
    </w:p>
    <w:p>
      <w:pPr>
        <w:pStyle w:val="Normal"/>
        <w:rPr>
          <w:sz w:val="22"/>
          <w:szCs w:val="22"/>
        </w:rPr>
      </w:pPr>
      <w:r>
        <w:rPr>
          <w:sz w:val="22"/>
          <w:szCs w:val="22"/>
        </w:rPr>
      </w:r>
    </w:p>
    <w:p>
      <w:pPr>
        <w:pStyle w:val="Normal"/>
        <w:rPr>
          <w:sz w:val="22"/>
          <w:szCs w:val="22"/>
        </w:rPr>
      </w:pPr>
      <w:r>
        <w:rPr>
          <w:sz w:val="22"/>
          <w:szCs w:val="22"/>
        </w:rPr>
        <w:t>cc:</w:t>
        <w:tab/>
        <w:t>John Martini, Director of Public Affairs, CIPA</w:t>
      </w:r>
    </w:p>
    <w:p>
      <w:pPr>
        <w:pStyle w:val="Normal"/>
        <w:ind w:firstLine="720" w:end="0"/>
        <w:rPr>
          <w:sz w:val="22"/>
          <w:szCs w:val="22"/>
        </w:rPr>
      </w:pPr>
      <w:r>
        <w:rPr>
          <w:sz w:val="22"/>
          <w:szCs w:val="22"/>
        </w:rPr>
        <w:t>Edward Poole, Esq., Anderson and Poole (attorney for CIPA)</w:t>
      </w:r>
    </w:p>
    <w:p>
      <w:pPr>
        <w:pStyle w:val="Normal"/>
        <w:rPr>
          <w:sz w:val="22"/>
          <w:szCs w:val="22"/>
        </w:rPr>
      </w:pPr>
      <w:r>
        <w:rPr>
          <w:sz w:val="22"/>
          <w:szCs w:val="22"/>
        </w:rPr>
        <w:tab/>
        <w:t>Susan Dowling</w:t>
      </w:r>
    </w:p>
    <w:p>
      <w:pPr>
        <w:pStyle w:val="Normal"/>
        <w:rPr>
          <w:sz w:val="22"/>
          <w:szCs w:val="22"/>
        </w:rPr>
      </w:pPr>
      <w:r>
        <w:rPr>
          <w:sz w:val="22"/>
          <w:szCs w:val="22"/>
        </w:rPr>
        <w:tab/>
        <w:t xml:space="preserve">Kirk Johnson </w:t>
      </w:r>
    </w:p>
    <w:p>
      <w:pPr>
        <w:pStyle w:val="Normal"/>
        <w:rPr>
          <w:sz w:val="22"/>
          <w:szCs w:val="22"/>
        </w:rPr>
      </w:pPr>
      <w:r>
        <w:rPr>
          <w:sz w:val="22"/>
          <w:szCs w:val="22"/>
        </w:rPr>
        <w:tab/>
        <w:t>Frank Lindh</w:t>
      </w:r>
    </w:p>
    <w:p>
      <w:pPr>
        <w:pStyle w:val="Normal"/>
        <w:ind w:firstLine="720" w:end="0"/>
        <w:rPr>
          <w:sz w:val="22"/>
          <w:szCs w:val="22"/>
        </w:rPr>
      </w:pPr>
      <w:r>
        <w:rPr>
          <w:sz w:val="22"/>
          <w:szCs w:val="22"/>
        </w:rPr>
        <w:t>Kathy Moran</w:t>
      </w:r>
    </w:p>
    <w:p>
      <w:pPr>
        <w:pStyle w:val="Normal"/>
        <w:rPr>
          <w:sz w:val="22"/>
          <w:szCs w:val="22"/>
        </w:rPr>
      </w:pPr>
      <w:r>
        <w:rPr>
          <w:sz w:val="22"/>
          <w:szCs w:val="22"/>
        </w:rPr>
        <w:tab/>
        <w:t>Ray Williams</w:t>
      </w:r>
    </w:p>
    <w:p>
      <w:pPr>
        <w:pStyle w:val="Normal"/>
        <w:rPr>
          <w:sz w:val="22"/>
          <w:szCs w:val="22"/>
        </w:rPr>
      </w:pPr>
      <w:r>
        <w:rPr>
          <w:sz w:val="22"/>
          <w:szCs w:val="22"/>
        </w:rPr>
        <w:tab/>
      </w:r>
    </w:p>
    <w:p>
      <w:pPr>
        <w:pStyle w:val="Normal"/>
        <w:rPr>
          <w:sz w:val="22"/>
          <w:szCs w:val="22"/>
        </w:rPr>
      </w:pPr>
      <w:r>
        <w:rPr>
          <w:sz w:val="22"/>
          <w:szCs w:val="22"/>
        </w:rPr>
        <w:t>bcc:</w:t>
        <w:tab/>
        <w:t>Gas Accord II team by e-mail</w:t>
      </w:r>
    </w:p>
    <w:p>
      <w:pPr>
        <w:pStyle w:val="Normal"/>
        <w:rPr>
          <w:sz w:val="22"/>
          <w:szCs w:val="22"/>
        </w:rPr>
      </w:pPr>
      <w:r>
        <w:rPr>
          <w:sz w:val="22"/>
          <w:szCs w:val="22"/>
        </w:rPr>
      </w:r>
    </w:p>
    <w:sectPr>
      <w:type w:val="nextPage"/>
      <w:pgSz w:w="12240" w:h="15840"/>
      <w:pgMar w:left="2160" w:right="1440" w:gutter="0" w:header="0" w:top="1440" w:footer="0"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2000-10-25T15:40:00Z</dcterms:created>
  <dc:creator>A Valued Microsoft Customer</dc:creator>
  <dc:description/>
  <dc:language>en-CA</dc:language>
  <cp:lastModifiedBy>Becky Lopez</cp:lastModifiedBy>
  <cp:lastPrinted>2000-10-25T13:44:00Z</cp:lastPrinted>
  <dcterms:modified xsi:type="dcterms:W3CDTF">2000-10-26T14:22:00Z</dcterms:modified>
  <cp:revision>5</cp:revision>
  <dc:subject/>
  <dc:title>DRAFT</dc:title>
</cp:coreProperties>
</file>