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6"/>
        </w:rPr>
      </w:pPr>
      <w:r>
        <w:rPr>
          <w:rFonts w:cs="Arial Narrow" w:ascii="Arial Narrow" w:hAnsi="Arial Narrow"/>
          <w:sz w:val="16"/>
        </w:rPr>
      </w:r>
    </w:p>
    <w:p>
      <w:pPr>
        <w:pStyle w:val="Normal"/>
        <w:ind w:start="6480" w:end="0"/>
        <w:rPr>
          <w:rFonts w:ascii="Arial Narrow" w:hAnsi="Arial Narrow" w:cs="Arial Narrow"/>
          <w:sz w:val="16"/>
        </w:rPr>
      </w:pPr>
      <w:r>
        <w:rPr>
          <w:rFonts w:cs="Arial Narrow" w:ascii="Arial Narrow" w:hAnsi="Arial Narrow"/>
          <w:sz w:val="16"/>
        </w:rPr>
        <w:t>Peter C.M. Keohane</w:t>
      </w:r>
    </w:p>
    <w:p>
      <w:pPr>
        <w:pStyle w:val="Normal"/>
        <w:ind w:start="6480" w:end="0"/>
        <w:rPr>
          <w:rFonts w:ascii="Arial Narrow" w:hAnsi="Arial Narrow" w:cs="Arial Narrow"/>
          <w:sz w:val="16"/>
        </w:rPr>
      </w:pPr>
      <w:r>
        <w:rPr>
          <w:rFonts w:cs="Arial Narrow" w:ascii="Arial Narrow" w:hAnsi="Arial Narrow"/>
          <w:sz w:val="16"/>
        </w:rPr>
        <w:t>Direct Dial:  (403) 974-6923</w:t>
      </w:r>
    </w:p>
    <w:p>
      <w:pPr>
        <w:pStyle w:val="Normal"/>
        <w:ind w:start="6480" w:end="0"/>
        <w:rPr>
          <w:rFonts w:ascii="Arial Narrow" w:hAnsi="Arial Narrow" w:cs="Arial Narrow"/>
          <w:sz w:val="16"/>
        </w:rPr>
      </w:pPr>
      <w:r>
        <w:rPr>
          <w:rFonts w:cs="Arial Narrow" w:ascii="Arial Narrow" w:hAnsi="Arial Narrow"/>
          <w:sz w:val="16"/>
        </w:rPr>
        <w:t xml:space="preserve">E-mail:  </w:t>
      </w:r>
      <w:r>
        <w:rPr>
          <w:rFonts w:cs="Arial Narrow" w:ascii="Arial Narrow" w:hAnsi="Arial Narrow"/>
          <w:sz w:val="16"/>
          <w:u w:val="single"/>
        </w:rPr>
        <w:t>Peter.Keohane@enron.com</w:t>
      </w:r>
    </w:p>
    <w:p>
      <w:pPr>
        <w:pStyle w:val="Normal"/>
        <w:ind w:start="6480" w:end="0"/>
        <w:rPr>
          <w:rFonts w:ascii="Arial Narrow" w:hAnsi="Arial Narrow" w:cs="Arial Narrow"/>
          <w:sz w:val="16"/>
        </w:rPr>
      </w:pPr>
      <w:r>
        <w:rPr>
          <w:rFonts w:cs="Arial Narrow" w:ascii="Arial Narrow" w:hAnsi="Arial Narrow"/>
          <w:sz w:val="16"/>
        </w:rPr>
      </w:r>
    </w:p>
    <w:p>
      <w:pPr>
        <w:pStyle w:val="Normal"/>
        <w:rPr/>
      </w:pPr>
      <w:r>
        <w:rPr/>
        <w:t>November 2, 2001</w:t>
      </w:r>
    </w:p>
    <w:p>
      <w:pPr>
        <w:pStyle w:val="Normal"/>
        <w:jc w:val="end"/>
        <w:rPr>
          <w:b/>
        </w:rPr>
      </w:pPr>
      <w:r>
        <w:rPr>
          <w:b/>
        </w:rPr>
        <w:t>VIA FACSIMILE</w:t>
      </w:r>
    </w:p>
    <w:p>
      <w:pPr>
        <w:pStyle w:val="Normal"/>
        <w:rPr/>
      </w:pPr>
      <w:r>
        <w:rPr/>
      </w:r>
    </w:p>
    <w:p>
      <w:pPr>
        <w:pStyle w:val="Normal"/>
        <w:rPr/>
      </w:pPr>
      <w:r>
        <w:rPr/>
        <w:t>NGX Canada Inc.</w:t>
      </w:r>
    </w:p>
    <w:p>
      <w:pPr>
        <w:pStyle w:val="Normal"/>
        <w:rPr/>
      </w:pPr>
      <w:r>
        <w:rPr/>
        <w:t xml:space="preserve">Suite 2330, 140 - 4th Avenue S.W. </w:t>
      </w:r>
    </w:p>
    <w:p>
      <w:pPr>
        <w:pStyle w:val="Normal"/>
        <w:rPr/>
      </w:pPr>
      <w:r>
        <w:rPr/>
        <w:t>Calgary, Alberta   T2P 3N3</w:t>
      </w:r>
    </w:p>
    <w:p>
      <w:pPr>
        <w:pStyle w:val="Normal"/>
        <w:rPr/>
      </w:pPr>
      <w:r>
        <w:rPr/>
      </w:r>
    </w:p>
    <w:p>
      <w:pPr>
        <w:pStyle w:val="Normal"/>
        <w:rPr>
          <w:b/>
          <w:bCs/>
        </w:rPr>
      </w:pPr>
      <w:r>
        <w:rPr>
          <w:b/>
          <w:bCs/>
        </w:rPr>
        <w:t>Attention:</w:t>
        <w:tab/>
        <w:t>Kenny Foo</w:t>
      </w:r>
    </w:p>
    <w:p>
      <w:pPr>
        <w:pStyle w:val="Normal"/>
        <w:rPr>
          <w:b/>
          <w:bCs/>
        </w:rPr>
      </w:pPr>
      <w:r>
        <w:rPr>
          <w:b/>
          <w:bCs/>
        </w:rPr>
      </w:r>
    </w:p>
    <w:p>
      <w:pPr>
        <w:pStyle w:val="Normal"/>
        <w:rPr/>
      </w:pPr>
      <w:r>
        <w:rPr/>
        <w:t>Dear Sir:</w:t>
      </w:r>
    </w:p>
    <w:p>
      <w:pPr>
        <w:pStyle w:val="Normal"/>
        <w:rPr/>
      </w:pPr>
      <w:r>
        <w:rPr/>
      </w:r>
    </w:p>
    <w:p>
      <w:pPr>
        <w:pStyle w:val="Normal"/>
        <w:ind w:hanging="720" w:start="720" w:end="0"/>
        <w:jc w:val="both"/>
        <w:rPr>
          <w:b/>
        </w:rPr>
      </w:pPr>
      <w:r>
        <w:rPr>
          <w:b/>
        </w:rPr>
        <w:t>Re:</w:t>
        <w:tab/>
        <w:t>NGX Canada Inc. ("NGX") - Contracting Party's Agreement effective August 8, 2001 (the "CPA") – Removal of Unsecured Limits and Requesting Security</w:t>
      </w:r>
    </w:p>
    <w:p>
      <w:pPr>
        <w:pStyle w:val="Normal"/>
        <w:jc w:val="both"/>
        <w:rPr>
          <w:b/>
        </w:rPr>
      </w:pPr>
      <w:r>
        <w:rPr>
          <w:b/>
        </w:rPr>
      </w:r>
    </w:p>
    <w:p>
      <w:pPr>
        <w:pStyle w:val="Normal"/>
        <w:jc w:val="both"/>
        <w:rPr/>
      </w:pPr>
      <w:r>
        <w:rPr/>
        <w:t xml:space="preserve">We are writing in response to your e-mail to Randy Otto and Bill Bradford of November 1, 2001.  As you know, Enron Corp. continues to maintain an investment grade credit rating with S&amp;P of BBB and, accordingly, pursuant to Section 3.0 of Schedule C to the CPA, is entitled to a maximum Unsecured Credit under the CPA of $30 million.  Although Section 3.0 of Schedule C to the CPA purports to provide NGX its discretion in establishing the Unsecured Credit, NGX has common law and regulatory obligations to treat its Contracting Parties in a commercially reasonable manner and to treat all of its Contracting Parties having similar credit ratings and trading positions equitably.  </w:t>
      </w:r>
    </w:p>
    <w:p>
      <w:pPr>
        <w:pStyle w:val="Normal"/>
        <w:jc w:val="both"/>
        <w:rPr/>
      </w:pPr>
      <w:r>
        <w:rPr/>
      </w:r>
    </w:p>
    <w:p>
      <w:pPr>
        <w:pStyle w:val="Normal"/>
        <w:jc w:val="both"/>
        <w:rPr/>
      </w:pPr>
      <w:r>
        <w:rPr/>
        <w:t>Accordingly, we confirm that arrangements are being made between our Credit Department and NGX for the provision of $</w:t>
      </w:r>
      <w:r>
        <w:rPr>
          <w:rFonts w:eastAsia="Symbol" w:cs="Symbol" w:ascii="Symbol" w:hAnsi="Symbol"/>
        </w:rPr>
        <w:sym w:font="Symbol" w:char="f0b7"/>
      </w:r>
      <w:r>
        <w:rPr/>
        <w:t xml:space="preserve"> of Collateral by </w:t>
      </w:r>
      <w:r>
        <w:rPr>
          <w:b/>
          <w:bCs/>
        </w:rPr>
        <w:t>[Irrevocable Letter of Credit]</w:t>
      </w:r>
      <w:r>
        <w:rPr/>
        <w:t>.  However, in the near term, we request that NGX confirm, with supporting evidence, that the credit requirements it is imposing on us are both (i) commercially reasonable, having regard to Enron Corp.'s BBB credit rating with S&amp;P and the current value of our positions with NGX, and (ii) equitable to all other Contracting Parties on NGX having similar credit ratings and trading positions.  We look forward to your confirmation of the foregoing at your earliest convenience.</w:t>
      </w:r>
    </w:p>
    <w:p>
      <w:pPr>
        <w:pStyle w:val="Normal"/>
        <w:jc w:val="both"/>
        <w:rPr/>
      </w:pPr>
      <w:r>
        <w:rPr/>
      </w:r>
    </w:p>
    <w:p>
      <w:pPr>
        <w:pStyle w:val="Normal"/>
        <w:rPr/>
      </w:pPr>
      <w:r>
        <w:rPr/>
        <w:t>Yours truly,</w:t>
      </w:r>
    </w:p>
    <w:p>
      <w:pPr>
        <w:pStyle w:val="Normal"/>
        <w:rPr/>
      </w:pPr>
      <w:r>
        <w:rPr/>
      </w:r>
    </w:p>
    <w:p>
      <w:pPr>
        <w:pStyle w:val="Normal"/>
        <w:rPr>
          <w:b/>
        </w:rPr>
      </w:pPr>
      <w:r>
        <w:rPr>
          <w:b/>
        </w:rPr>
        <w:t>ENRON CANADA CORP.</w:t>
      </w:r>
    </w:p>
    <w:p>
      <w:pPr>
        <w:pStyle w:val="Normal"/>
        <w:rPr/>
      </w:pPr>
      <w:r>
        <w:rPr/>
      </w:r>
    </w:p>
    <w:p>
      <w:pPr>
        <w:pStyle w:val="Normal"/>
        <w:rPr/>
      </w:pPr>
      <w:r>
        <w:rPr/>
      </w:r>
    </w:p>
    <w:p>
      <w:pPr>
        <w:pStyle w:val="Normal"/>
        <w:rPr/>
      </w:pPr>
      <w:r>
        <w:rPr/>
      </w:r>
    </w:p>
    <w:p>
      <w:pPr>
        <w:pStyle w:val="Normal"/>
        <w:rPr/>
      </w:pPr>
      <w:r>
        <w:rPr/>
        <w:t>Peter Cleary Keohane</w:t>
      </w:r>
    </w:p>
    <w:p>
      <w:pPr>
        <w:pStyle w:val="Normal"/>
        <w:rPr/>
      </w:pPr>
      <w:r>
        <w:rPr/>
        <w:t>Vice President, Assistant General Counsel</w:t>
      </w:r>
    </w:p>
    <w:p>
      <w:pPr>
        <w:pStyle w:val="Normal"/>
        <w:rPr/>
      </w:pPr>
      <w:r>
        <w:rPr/>
        <w:t>and Secretary</w:t>
      </w:r>
    </w:p>
    <w:p>
      <w:pPr>
        <w:pStyle w:val="Normal"/>
        <w:rPr/>
      </w:pPr>
      <w:r>
        <w:rPr/>
      </w:r>
    </w:p>
    <w:p>
      <w:pPr>
        <w:pStyle w:val="Normal"/>
        <w:rPr>
          <w:sz w:val="18"/>
        </w:rPr>
      </w:pPr>
      <w:r>
        <w:rPr>
          <w:sz w:val="18"/>
        </w:rPr>
        <w:t>/syc</w:t>
      </w:r>
    </w:p>
    <w:sectPr>
      <w:headerReference w:type="default" r:id="rId2"/>
      <w:headerReference w:type="first" r:id="rId3"/>
      <w:footerReference w:type="default" r:id="rId4"/>
      <w:footerReference w:type="first" r:id="rId5"/>
      <w:type w:val="nextPage"/>
      <w:pgSz w:w="12240" w:h="15840"/>
      <w:pgMar w:left="1440" w:right="1440" w:gutter="0" w:header="720" w:top="776" w:footer="288"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/mnt/main-storage/datasets/enron-docs/doc/Ltr.NGX_Contracting_Party_s_Agreement-005380c724b586e7713cb9411de968061b2d4de4ab2d81396387383f5f274713.doc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/mnt/main-storage/datasets/enron-docs/doc/Ltr.NGX_Contracting_Party_s_Agreement-005380c724b586e7713cb9411de968061b2d4de4ab2d81396387383f5f274713.doc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end"/>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p>
    <w:pPr>
      <w:pStyle w:val="Header"/>
      <w:jc w:val="end"/>
      <w:rPr>
        <w:rStyle w:val="PageNumber"/>
        <w:sz w:val="18"/>
      </w:rPr>
    </w:pPr>
    <w:r>
      <w:rPr/>
    </w:r>
  </w:p>
  <w:p>
    <w:pPr>
      <w:pStyle w:val="Header"/>
      <w:jc w:val="end"/>
      <w:rPr>
        <w:rStyle w:val="PageNumber"/>
        <w:sz w:val="18"/>
      </w:rPr>
    </w:pPr>
    <w:r>
      <w:rPr/>
    </w:r>
  </w:p>
  <w:p>
    <w:pPr>
      <w:pStyle w:val="Header"/>
      <w:jc w:val="end"/>
      <w:rPr>
        <w:rStyle w:val="PageNumber"/>
        <w:sz w:val="18"/>
      </w:rPr>
    </w:pPr>
    <w:r>
      <w:rPr/>
    </w:r>
  </w:p>
  <w:p>
    <w:pPr>
      <w:pStyle w:val="Header"/>
      <w:jc w:val="end"/>
      <w:rPr>
        <w:rStyle w:val="PageNumber"/>
        <w:sz w:val="18"/>
      </w:rPr>
    </w:pPr>
    <w:r>
      <w:rPr/>
    </w:r>
  </w:p>
  <w:p>
    <w:pPr>
      <w:pStyle w:val="Header"/>
      <w:jc w:val="end"/>
      <w:rPr>
        <w:rStyle w:val="PageNumber"/>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smallCaps w:val="false"/>
        <w:caps w:val="false"/>
        <w:outline w:val="false"/>
        <w:dstrike w:val="false"/>
        <w:strike w:val="false"/>
        <w:vertAlign w:val="baseline"/>
        <w:position w:val="0"/>
        <w:sz w:val="22"/>
        <w:sz w:val="22"/>
        <w:i w:val="false"/>
        <w:shadow w:val="false"/>
        <w:b w:val="false"/>
        <w:vanish w:val="false"/>
        <w:rFonts w:ascii="Arial" w:hAnsi="Arial" w:cs="Arial"/>
      </w:rPr>
    </w:lvl>
  </w:abstractNum>
  <w:abstractNum w:abstractNumId="3">
    <w:lvl w:ilvl="0">
      <w:start w:val="1"/>
      <w:numFmt w:val="lowerLetter"/>
      <w:lvlText w:val="(%1)"/>
      <w:lvlJc w:val="start"/>
      <w:pPr>
        <w:tabs>
          <w:tab w:val="num" w:pos="1440"/>
        </w:tabs>
        <w:ind w:start="1440" w:hanging="720"/>
      </w:pPr>
      <w:rPr>
        <w:smallCaps w:val="false"/>
        <w:caps w:val="false"/>
        <w:outline w:val="false"/>
        <w:dstrike w:val="false"/>
        <w:strike w:val="false"/>
        <w:vertAlign w:val="baseline"/>
        <w:position w:val="0"/>
        <w:sz w:val="22"/>
        <w:sz w:val="22"/>
        <w:i w:val="false"/>
        <w:shadow w:val="false"/>
        <w:b w:val="false"/>
        <w:vanish w:val="false"/>
        <w:rFonts w:ascii="Arial" w:hAnsi="Arial" w:cs="Arial"/>
      </w:rPr>
    </w:lvl>
  </w:abstractNum>
  <w:abstractNum w:abstractNumId="4">
    <w:lvl w:ilvl="0">
      <w:start w:val="1"/>
      <w:numFmt w:val="upperLetter"/>
      <w:lvlText w:val="(%1)"/>
      <w:lvlJc w:val="start"/>
      <w:pPr>
        <w:tabs>
          <w:tab w:val="num" w:pos="2880"/>
        </w:tabs>
        <w:ind w:start="2880" w:hanging="720"/>
      </w:pPr>
      <w:rPr>
        <w:smallCaps w:val="false"/>
        <w:caps w:val="false"/>
        <w:outline w:val="false"/>
        <w:dstrike w:val="false"/>
        <w:strike w:val="false"/>
        <w:vertAlign w:val="baseline"/>
        <w:position w:val="0"/>
        <w:sz w:val="22"/>
        <w:sz w:val="22"/>
        <w:i w:val="false"/>
        <w:shadow w:val="false"/>
        <w:b w:val="false"/>
        <w:vanish w:val="false"/>
        <w:rFonts w:ascii="Arial" w:hAnsi="Arial" w:cs="Arial"/>
      </w:rPr>
    </w:lvl>
  </w:abstractNum>
  <w:abstractNum w:abstractNumId="5">
    <w:lvl w:ilvl="0">
      <w:start w:val="1"/>
      <w:numFmt w:val="decimal"/>
      <w:lvlText w:val="%1."/>
      <w:lvlJc w:val="start"/>
      <w:pPr>
        <w:tabs>
          <w:tab w:val="num" w:pos="720"/>
        </w:tabs>
        <w:ind w:start="720" w:hanging="720"/>
      </w:pPr>
      <w:rPr>
        <w:sz w:val="22"/>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Arial" w:hAnsi="Arial" w:cs="Arial"/>
      <w:b w:val="false"/>
      <w:i w:val="false"/>
      <w:caps w:val="false"/>
      <w:smallCaps w:val="false"/>
      <w:strike w:val="false"/>
      <w:dstrike w:val="false"/>
      <w:outline w:val="false"/>
      <w:shadow w:val="false"/>
      <w:vanish w:val="false"/>
      <w:position w:val="0"/>
      <w:sz w:val="22"/>
      <w:sz w:val="22"/>
      <w:vertAlign w:val="baseline"/>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position w:val="0"/>
      <w:sz w:val="22"/>
      <w:sz w:val="22"/>
      <w:vertAlign w:val="baseline"/>
    </w:rPr>
  </w:style>
  <w:style w:type="character" w:styleId="WW8Num3z0">
    <w:name w:val="WW8Num3z0"/>
    <w:qFormat/>
    <w:rPr>
      <w:rFonts w:ascii="Arial" w:hAnsi="Arial" w:cs="Arial"/>
      <w:b w:val="false"/>
      <w:i w:val="false"/>
      <w:caps w:val="false"/>
      <w:smallCaps w:val="false"/>
      <w:strike w:val="false"/>
      <w:dstrike w:val="false"/>
      <w:outline w:val="false"/>
      <w:shadow w:val="false"/>
      <w:vanish w:val="false"/>
      <w:position w:val="0"/>
      <w:sz w:val="22"/>
      <w:sz w:val="22"/>
      <w:vertAlign w:val="baseline"/>
    </w:rPr>
  </w:style>
  <w:style w:type="character" w:styleId="WW8Num4z0">
    <w:name w:val="WW8Num4z0"/>
    <w:qFormat/>
    <w:rPr>
      <w:rFonts w:ascii="Arial" w:hAnsi="Arial" w:cs="Arial"/>
      <w:b w:val="false"/>
      <w:i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Helvetica" w:hAnsi="Helvetica" w:cs="Helvetica"/>
      <w:sz w:val="16"/>
    </w:rPr>
  </w:style>
  <w:style w:type="paragraph" w:styleId="Sharon1">
    <w:name w:val="Sharon1"/>
    <w:basedOn w:val="Normal"/>
    <w:next w:val="Normal"/>
    <w:qFormat/>
    <w:pPr>
      <w:numPr>
        <w:ilvl w:val="0"/>
        <w:numId w:val="5"/>
      </w:numPr>
      <w:spacing w:before="0" w:after="240"/>
      <w:jc w:val="both"/>
    </w:pPr>
    <w:rPr>
      <w:szCs w:val="24"/>
    </w:rPr>
  </w:style>
  <w:style w:type="paragraph" w:styleId="Sharon2">
    <w:name w:val="Sharon2"/>
    <w:basedOn w:val="Normal"/>
    <w:next w:val="Normal"/>
    <w:qFormat/>
    <w:pPr>
      <w:numPr>
        <w:ilvl w:val="0"/>
        <w:numId w:val="3"/>
      </w:numPr>
      <w:spacing w:before="0" w:after="240"/>
      <w:jc w:val="both"/>
    </w:pPr>
    <w:rPr>
      <w:szCs w:val="24"/>
    </w:rPr>
  </w:style>
  <w:style w:type="paragraph" w:styleId="Sharon3">
    <w:name w:val="Sharon3"/>
    <w:basedOn w:val="Normal"/>
    <w:next w:val="Normal"/>
    <w:qFormat/>
    <w:pPr>
      <w:numPr>
        <w:ilvl w:val="0"/>
        <w:numId w:val="2"/>
      </w:numPr>
      <w:spacing w:before="0" w:after="240"/>
      <w:jc w:val="both"/>
    </w:pPr>
    <w:rPr>
      <w:szCs w:val="24"/>
    </w:rPr>
  </w:style>
  <w:style w:type="paragraph" w:styleId="Sharon4">
    <w:name w:val="Sharon4"/>
    <w:basedOn w:val="Normal"/>
    <w:next w:val="Normal"/>
    <w:qFormat/>
    <w:pPr>
      <w:numPr>
        <w:ilvl w:val="0"/>
        <w:numId w:val="4"/>
      </w:numPr>
      <w:spacing w:before="0" w:after="240"/>
      <w:jc w:val="both"/>
    </w:pPr>
    <w:rPr>
      <w:rFonts w:ascii="Helvetica" w:hAnsi="Helvetica" w:cs="Helvetica"/>
      <w:szCs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Letter-PK.dot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2001-11-02T14:19:00Z</dcterms:created>
  <dc:creator>scrawfo3</dc:creator>
  <dc:description/>
  <dc:language>en-CA</dc:language>
  <cp:lastModifiedBy>scrawfo3</cp:lastModifiedBy>
  <cp:lastPrinted>2001-11-02T10:34:00Z</cp:lastPrinted>
  <dcterms:modified xsi:type="dcterms:W3CDTF">2001-11-02T15:10:00Z</dcterms:modified>
  <cp:revision>5</cp:revision>
  <dc:subject/>
  <dc:title>March 12, 1997</dc:title>
</cp:coreProperties>
</file>