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948940"/>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948940"/>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16,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INC</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32.2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16,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INC</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RELIANT ENERGY, INC</w:t>
      </w:r>
    </w:p>
    <w:p>
      <w:pPr>
        <w:pStyle w:val="BlockText"/>
        <w:spacing w:lineRule="exact" w:line="260" w:before="0" w:after="160"/>
        <w:ind w:start="0" w:end="0"/>
        <w:rPr/>
      </w:pPr>
      <w:r>
        <w:rPr/>
        <w:t>a Texas corporation,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The Property is restricted in that no activity may be conducted on the Property that would fracture or cause subsurface movement to the storage well facility of Vendor located near the Property, including, but not limited to activities using explosives or other high-power detonating devices.  Additionally, Buyer shall erect and maintain, at its sole cost and expense, a suitable chain-link fence between Vendor's retained adjacent property and the purchased Property.</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the Vendor who hereby acknowledges receipt thereof and grants full acquittance and discharge therefor.</w:t>
      </w:r>
    </w:p>
    <w:p>
      <w:pPr>
        <w:pStyle w:val="Normal"/>
        <w:jc w:val="both"/>
        <w:rPr/>
      </w:pPr>
      <w:r>
        <w:rPr/>
      </w:r>
    </w:p>
    <w:p>
      <w:pPr>
        <w:pStyle w:val="Normal"/>
        <w:jc w:val="both"/>
        <w:rPr/>
      </w:pPr>
      <w:r>
        <w:rPr/>
        <w:t>All taxes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t>Vendor warrants that it is the record title owner of the Property, and warrants that it has good and merchantable title.</w:t>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INC.</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Jean Mrha,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_________________________, _______________ of TEXAS BRINE COMPANY, LLC, a Texas limited liability company, on behalf of said company.</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16, 2001</w:t>
      </w:r>
    </w:p>
    <w:p>
      <w:pPr>
        <w:pStyle w:val="OmniPage1"/>
        <w:tabs>
          <w:tab w:val="clear" w:pos="720"/>
          <w:tab w:val="right" w:pos="6787" w:leader="none"/>
        </w:tabs>
        <w:ind w:start="3210" w:end="0"/>
        <w:rPr>
          <w:b/>
          <w:bCs/>
        </w:rPr>
      </w:pPr>
      <w:r>
        <w:rPr>
          <w:b/>
          <w:bCs/>
        </w:rPr>
      </w:r>
    </w:p>
    <w:p>
      <w:pPr>
        <w:pStyle w:val="Normal"/>
        <w:jc w:val="center"/>
        <w:rPr/>
      </w:pPr>
      <w:r>
        <w:rPr/>
        <w:t>[PROPERTY DESCRIPTION OF TRACTS]</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firstLine="720" w:start="2160" w:end="0"/>
      <w:rPr>
        <w:sz w:val="16"/>
      </w:rPr>
    </w:pPr>
    <w:r>
      <w:rPr>
        <w:sz w:val="16"/>
      </w:rPr>
      <w:tab/>
      <w:tab/>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2001-11-16T18:37:00Z</dcterms:created>
  <dc:creator>protmp2</dc:creator>
  <dc:description/>
  <dc:language>en-CA</dc:language>
  <cp:lastModifiedBy>jmrha</cp:lastModifiedBy>
  <cp:lastPrinted>2001-11-16T14:33:00Z</cp:lastPrinted>
  <dcterms:modified xsi:type="dcterms:W3CDTF">2001-11-16T18:37:00Z</dcterms:modified>
  <cp:revision>2</cp:revision>
  <dc:subject/>
  <dc:title>CASH SALE</dc:title>
</cp:coreProperties>
</file>