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Louise,</w:t>
      </w:r>
    </w:p>
    <w:p>
      <w:pPr>
        <w:pStyle w:val="Normal"/>
        <w:rPr/>
      </w:pPr>
      <w:r>
        <w:rPr/>
        <w:t>As promised, the following is a brief summary of the current activities of East Power, Generation Investments and Generation Development. I will not attempt to talk about everything that we are working on, only those things that are likely and contribute materially to income beyond what is already booked or to the development of the business.</w:t>
      </w:r>
    </w:p>
    <w:p>
      <w:pPr>
        <w:pStyle w:val="Normal"/>
        <w:rPr/>
      </w:pPr>
      <w:r>
        <w:rPr/>
        <w:t xml:space="preserve">There are five transactions that we are working on that could contribute $10 million or more to current income. </w:t>
      </w:r>
    </w:p>
    <w:p>
      <w:pPr>
        <w:pStyle w:val="Normal"/>
        <w:rPr/>
      </w:pPr>
      <w:r>
        <w:rPr/>
        <w:t xml:space="preserve">1.Fuel Cell Sale. As you may recall, Principal Investments made a $5 million investment in Fuel Cell Energy that gave ENA the right to acquire 1.3 million shares of their equity at $67 as long as the following conditions were met; </w:t>
      </w:r>
    </w:p>
    <w:p>
      <w:pPr>
        <w:pStyle w:val="Normal"/>
        <w:numPr>
          <w:ilvl w:val="0"/>
          <w:numId w:val="1"/>
        </w:numPr>
        <w:rPr/>
      </w:pPr>
      <w:r>
        <w:rPr/>
        <w:t>Enron arranges the sale of at least 55 MW or 22 units.</w:t>
      </w:r>
    </w:p>
    <w:p>
      <w:pPr>
        <w:pStyle w:val="Normal"/>
        <w:numPr>
          <w:ilvl w:val="0"/>
          <w:numId w:val="1"/>
        </w:numPr>
        <w:rPr/>
      </w:pPr>
      <w:r>
        <w:rPr/>
        <w:t>These sales are made with at least 2 counter-parties.</w:t>
      </w:r>
    </w:p>
    <w:p>
      <w:pPr>
        <w:pStyle w:val="Normal"/>
        <w:rPr/>
      </w:pPr>
      <w:r>
        <w:rPr/>
        <w:t>We are currently in discussions with 2 entities, CRRA(26MW) and New Jersey Natural(30MW). I am assisting with the latter sale. In the first case, certain regulatory consents were deemed necessary to get the requisite funding. We are in the process of getting these. The New Jersey Natural discussions are early but promising. The current market price of their equity is $72/share but we would expect a significant increase upon announcement of a sale.</w:t>
      </w:r>
    </w:p>
    <w:p>
      <w:pPr>
        <w:pStyle w:val="Normal"/>
        <w:rPr/>
      </w:pPr>
      <w:r>
        <w:rPr/>
        <w:t>2.Cornhusker Sale. El Paso Energy has offered $250 million for the Cleburne QF plant. Our current accounting basis is $239 million. They have been informed about possible future arbitration with the Brazos Co-operative and about the past history of the plant. They expect to complete due diligence by the end of the third quarter. Larry Kellerman told me that our current arbitration over ECP will not affect these discussions.</w:t>
      </w:r>
    </w:p>
    <w:p>
      <w:pPr>
        <w:pStyle w:val="Normal"/>
        <w:rPr/>
      </w:pPr>
      <w:r>
        <w:rPr/>
        <w:t>3. Motown Reverse Toll or Restructuring. We have been in discussions with Consumers Energy about making a payment to them for the right to reverse toll the Michigan Power facility or to give us the right to serve the power contract from the market. At the same time, they have initiated an arbitration process with the partnership to settle a billing dispute. We believe that they will accept our proposals and that the net benefit to our interests is about $10 million.</w:t>
      </w:r>
    </w:p>
    <w:p>
      <w:pPr>
        <w:pStyle w:val="Normal"/>
        <w:rPr/>
      </w:pPr>
      <w:r>
        <w:rPr/>
        <w:t>4. Tex Mex. As you know, the greatest impediment to closing Tex Mex has been getting a viable counter-party  in Mexico to enter into a purchase agreement that reduces our exposure to rule changes in Mexico that threaten the viability of the project. As you know,  Deasero has been very slow in making a commitment. We are currently in approaching several US companies that have plants in Northern Mexico. They are Kimberly Clark, General Motors and Ford Motor Company. We have also renegotiated our contract with ABB for a net value gain.</w:t>
      </w:r>
    </w:p>
    <w:p>
      <w:pPr>
        <w:pStyle w:val="Normal"/>
        <w:rPr/>
      </w:pPr>
      <w:r>
        <w:rPr/>
        <w:t>5.Ft. Pierce. Our strategy for this project is to sell the project to a third party and take back a power contract that would give us a long position on energy at the plant’s heat rate for 2-5 years. We are farthest along with Teco Energy. They have agreed to absorb our costs and a $5 million promote. They want a 5 year toll and we are about $1/kw-month apart on the capacity payment. We believe we can close this gap.</w:t>
      </w:r>
    </w:p>
    <w:p>
      <w:pPr>
        <w:pStyle w:val="Normal"/>
        <w:rPr/>
      </w:pPr>
      <w:r>
        <w:rPr/>
        <w:t xml:space="preserve"> </w:t>
      </w:r>
      <w:r>
        <w:rPr/>
        <w:t xml:space="preserve">On Midway, we can probably realize greater value in an equity sale given the ability to develop the project at a more efficient size. We thought we might be able to acquire some FA’s that are currently available but the pricing is moving beyond my comfort level. I would still recommend that we continue to develop this project on our own and to look for turbines. </w:t>
      </w:r>
    </w:p>
    <w:p>
      <w:pPr>
        <w:pStyle w:val="Normal"/>
        <w:rPr/>
      </w:pPr>
      <w:r>
        <w:rPr/>
        <w:t>Currently, I believe that the economic value of these transactions is about $60 million(although not all of this would be seen as origination income). There is another set of potential transactions that would yield an incremental $50 million.</w:t>
      </w:r>
    </w:p>
    <w:p>
      <w:pPr>
        <w:pStyle w:val="Normal"/>
        <w:rPr/>
      </w:pPr>
      <w:r>
        <w:rPr/>
        <w:t>We also have 4 significant business development efforts in progress.</w:t>
      </w:r>
    </w:p>
    <w:p>
      <w:pPr>
        <w:pStyle w:val="Normal"/>
        <w:rPr/>
      </w:pPr>
      <w:r>
        <w:rPr/>
        <w:t>1.Carl is continuing to make progress in developing mezz capital transactions. The most promising deals are with projects where coal is the fuel source. This is because the value of the call options that work for CC gas plants is overwhelmed by the cost of the puts required to pay operating costs and service debt. For gas plants we are still prepared to offer mezz capital but only when we get call options in addition to the note that create a solid risk return profile on our investment. The 2 transactions that are most promising are with Edison Mission Energy at Homer City and AES at Deepwater.</w:t>
      </w:r>
    </w:p>
    <w:p>
      <w:pPr>
        <w:pStyle w:val="Normal"/>
        <w:rPr/>
      </w:pPr>
      <w:r>
        <w:rPr/>
        <w:t>2.Mitch is working on 2 possible sites for coal projects in FL. The first is in the Seminole Nation which would allow us to avoid Siting Act restrictions and the second is with the Seminole Co-op (no relation) in Northern Florida. Both would work for our forward gas sale play. We are continuing our efforts in ERCOT since the gas curve has moved back up but only where we believe Pet Coke is available.</w:t>
      </w:r>
    </w:p>
    <w:p>
      <w:pPr>
        <w:pStyle w:val="Normal"/>
        <w:rPr/>
      </w:pPr>
      <w:r>
        <w:rPr/>
        <w:t>3.I would like to re-invigorate our efforts to acquire and restructure QF assets for several reasons;</w:t>
      </w:r>
    </w:p>
    <w:p>
      <w:pPr>
        <w:pStyle w:val="Normal"/>
        <w:rPr/>
      </w:pPr>
      <w:r>
        <w:rPr/>
        <w:t>i)The value in these projects fits with our forward(bearish) market views in that they possess LT above market power contracts or below market fuel supply contracts.</w:t>
      </w:r>
    </w:p>
    <w:p>
      <w:pPr>
        <w:pStyle w:val="Normal"/>
        <w:rPr/>
      </w:pPr>
      <w:r>
        <w:rPr/>
        <w:t>ii)The current market values of these projects are waning since other investors are more bullish on power.</w:t>
      </w:r>
    </w:p>
    <w:p>
      <w:pPr>
        <w:pStyle w:val="Normal"/>
        <w:rPr/>
      </w:pPr>
      <w:r>
        <w:rPr/>
        <w:t>iii)We have made huge profits in this business (over $200million) since its inception in 1999. While we have not completed a restructuring we have monetized our positions at numbers that reflect full restructuring value.</w:t>
      </w:r>
    </w:p>
    <w:p>
      <w:pPr>
        <w:pStyle w:val="Normal"/>
        <w:rPr/>
      </w:pPr>
      <w:r>
        <w:rPr/>
        <w:t>iv)We can expand our efforts without using Enron’s Balance Sheet or Credit capacity.</w:t>
      </w:r>
    </w:p>
    <w:p>
      <w:pPr>
        <w:pStyle w:val="Normal"/>
        <w:rPr/>
      </w:pPr>
      <w:r>
        <w:rPr/>
        <w:t>I will work with Treasury to put the funding vehicles in place. We currently are in discussions to acquire 4 incremental assets.</w:t>
      </w:r>
    </w:p>
    <w:p>
      <w:pPr>
        <w:pStyle w:val="Normal"/>
        <w:rPr/>
      </w:pPr>
      <w:r>
        <w:rPr/>
        <w:t>4.We are currently approaching Muni’s and IOU’s in the Midwest and ERCOT that are contemplating new CC projects with a forward sale of power at a discount to CC economics. The pricing is still considerably above our indicative offer prices.</w:t>
      </w:r>
    </w:p>
    <w:p>
      <w:pPr>
        <w:pStyle w:val="Normal"/>
        <w:rPr/>
      </w:pPr>
      <w:r>
        <w:rPr/>
        <w:t>In addition to these efforts we are aggressively pursuing Standard Offer and Default Service deals in the Northeast and Asset Management transactions with munis.</w:t>
      </w:r>
    </w:p>
    <w:p>
      <w:pPr>
        <w:pStyle w:val="Normal"/>
        <w:rPr/>
      </w:pPr>
      <w:r>
        <w:rPr/>
        <w:t>We have continued our recruiting efforts both internally and externally with a focus on commodity and finance experience. Rich DiMichelle met with John and would like to meet with you when you return. Tom Byargeon will let me know today what he wants to do. I will meet again with Brad Richter when he gets back. We are bringing in 4 external candidates for second interviews.</w:t>
      </w:r>
    </w:p>
    <w:p>
      <w:pPr>
        <w:pStyle w:val="Normal"/>
        <w:rPr/>
      </w:pPr>
      <w:r>
        <w:rPr/>
        <w:t xml:space="preserve"> </w:t>
      </w:r>
      <w:r>
        <w:rPr/>
        <w:t>I have begun to firm up my ideas about how to develop a model for our power origination business. I would like to discuss this with you when you return.</w:t>
      </w:r>
    </w:p>
    <w:p>
      <w:pPr>
        <w:pStyle w:val="Normal"/>
        <w:rPr/>
      </w:pPr>
      <w:r>
        <w:rPr/>
        <w:t>I look forward to seeing you next week.</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108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2001-06-12T19:01:00Z</dcterms:created>
  <dc:creator>Dave Duran</dc:creator>
  <dc:description/>
  <dc:language>en-CA</dc:language>
  <cp:lastModifiedBy>Dave Duran</cp:lastModifiedBy>
  <dcterms:modified xsi:type="dcterms:W3CDTF">2001-06-12T19:01:00Z</dcterms:modified>
  <cp:revision>2</cp:revision>
  <dc:subject/>
  <dc:title>Louise,</dc:title>
</cp:coreProperties>
</file>