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sz w:val="24"/>
              </w:rPr>
            </w:pPr>
            <w:r>
              <w:rPr>
                <w:sz w:val="24"/>
              </w:rPr>
              <w:t>Louise Kitchen</w:t>
            </w:r>
          </w:p>
        </w:tc>
        <w:tc>
          <w:tcPr>
            <w:tcW w:w="990" w:type="dxa"/>
            <w:tcBorders/>
          </w:tcPr>
          <w:p>
            <w:pPr>
              <w:pStyle w:val="Normal"/>
              <w:snapToGrid w:val="false"/>
              <w:ind w:start="-180" w:end="0"/>
              <w:rPr>
                <w:sz w:val="24"/>
              </w:rPr>
            </w:pPr>
            <w:r>
              <w:rPr>
                <w:sz w:val="24"/>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sz w:val="24"/>
              </w:rPr>
            </w:pPr>
            <w:r>
              <w:rPr>
                <w:sz w:val="24"/>
              </w:rPr>
              <w:t>Steve Van Hooser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sz w:val="24"/>
              </w:rPr>
            </w:pPr>
            <w:bookmarkStart w:id="0" w:name="From"/>
            <w:bookmarkEnd w:id="0"/>
            <w:r>
              <w:rPr>
                <w:sz w:val="24"/>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sz w:val="24"/>
              </w:rPr>
            </w:pPr>
            <w:r>
              <w:rPr>
                <w:sz w:val="24"/>
              </w:rPr>
              <w:t>El Paso Natural Gas Company (El Paso) Award of Pipeline Capacity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tc>
      </w:tr>
    </w:tbl>
    <w:p>
      <w:pPr>
        <w:pStyle w:val="Body"/>
        <w:rPr>
          <w:color w:val="000000"/>
        </w:rPr>
      </w:pPr>
      <w:r>
        <w:rPr>
          <w:color w:val="000000"/>
        </w:rPr>
      </w:r>
      <w:bookmarkStart w:id="1" w:name="StartOfMemo"/>
      <w:bookmarkStart w:id="2" w:name="StartOfMemo"/>
      <w:bookmarkEnd w:id="2"/>
    </w:p>
    <w:p>
      <w:pPr>
        <w:pStyle w:val="Body"/>
        <w:rPr>
          <w:color w:val="000000"/>
        </w:rPr>
      </w:pPr>
      <w:r>
        <w:rPr>
          <w:color w:val="000000"/>
        </w:rPr>
      </w:r>
    </w:p>
    <w:p>
      <w:pPr>
        <w:pStyle w:val="Body"/>
        <w:tabs>
          <w:tab w:val="left" w:pos="9180" w:leader="none"/>
        </w:tabs>
        <w:rPr/>
      </w:pPr>
      <w:r>
        <w:rPr>
          <w:color w:val="000000"/>
          <w:sz w:val="24"/>
          <w:u w:val="single"/>
        </w:rPr>
        <w:t>Short Answer</w:t>
      </w:r>
      <w:r>
        <w:rPr>
          <w:color w:val="000000"/>
          <w:sz w:val="24"/>
        </w:rPr>
        <w:t>.  Pursuant to your request, I have reviewed the documentation evidencing the ENA bid and the El Paso Award on February 22, 2001 of 254,056 MMBtu of firm transportation capacity on the El Paso pipeline system (the “Capacity”).  Based on the documentation reviewed, discussions with the trading desk personnel who structured and implemented bids for the Capacity, consultations with outside FERC counsel at Bracewell and Patterson, and review of certain FERC orders addressing rights of the El Paso Capacity holders</w:t>
      </w:r>
      <w:r>
        <w:rPr>
          <w:b/>
          <w:bCs/>
          <w:i/>
          <w:iCs/>
          <w:color w:val="000000"/>
          <w:sz w:val="24"/>
        </w:rPr>
        <w:t xml:space="preserve">, </w:t>
      </w:r>
      <w:r>
        <w:rPr>
          <w:b/>
          <w:bCs/>
          <w:color w:val="000000"/>
          <w:sz w:val="24"/>
        </w:rPr>
        <w:t>the Award was issued in a manner consistent with El Paso’s Tariff such that ENA will be able to enforce its rights as the sole shipper entitle</w:t>
      </w:r>
      <w:r>
        <w:rPr>
          <w:rFonts w:cs="Arial"/>
          <w:b/>
          <w:bCs/>
          <w:color w:val="000000"/>
          <w:sz w:val="24"/>
        </w:rPr>
        <w:t>d to the benefits of the Capacity.</w:t>
      </w:r>
    </w:p>
    <w:p>
      <w:pPr>
        <w:pStyle w:val="Body"/>
        <w:tabs>
          <w:tab w:val="left" w:pos="9180" w:leader="none"/>
        </w:tabs>
        <w:rPr>
          <w:rFonts w:cs="Arial"/>
          <w:b/>
          <w:bCs/>
          <w:color w:val="000000"/>
          <w:sz w:val="24"/>
        </w:rPr>
      </w:pPr>
      <w:r>
        <w:rPr>
          <w:rFonts w:cs="Arial"/>
          <w:b/>
          <w:bCs/>
          <w:color w:val="000000"/>
          <w:sz w:val="24"/>
        </w:rPr>
      </w:r>
    </w:p>
    <w:p>
      <w:pPr>
        <w:pStyle w:val="Body"/>
        <w:tabs>
          <w:tab w:val="left" w:pos="9180" w:leader="none"/>
        </w:tabs>
        <w:rPr/>
      </w:pPr>
      <w:r>
        <w:rPr>
          <w:rFonts w:cs="Arial"/>
          <w:color w:val="000000"/>
          <w:sz w:val="24"/>
          <w:u w:val="single"/>
        </w:rPr>
        <w:t>Recall Rights</w:t>
      </w:r>
      <w:r>
        <w:rPr>
          <w:rFonts w:cs="Arial"/>
          <w:color w:val="000000"/>
          <w:sz w:val="24"/>
        </w:rPr>
        <w:t>.  I have further determined that despite the recall rights that inure to the benefit of others on 200,000 MMBtu or 79% of the Capacity (the so-called Block II Capacity), ENA can mitigate such recall risk (i) by directing its use of Block II Capacity to serve the North California gas markets (i.e., the PG&amp;E service area markets) or (ii) by itself electing to re-recall any Block II capacity that another shipper may have recalled from ENA whenever ENA is again in a position to serve the North California market.</w:t>
      </w:r>
    </w:p>
    <w:p>
      <w:pPr>
        <w:pStyle w:val="Body"/>
        <w:tabs>
          <w:tab w:val="left" w:pos="9180" w:leader="none"/>
        </w:tabs>
        <w:rPr>
          <w:rFonts w:cs="Arial"/>
          <w:color w:val="000000"/>
          <w:sz w:val="24"/>
        </w:rPr>
      </w:pPr>
      <w:r>
        <w:rPr>
          <w:rFonts w:cs="Arial"/>
          <w:color w:val="000000"/>
          <w:sz w:val="24"/>
        </w:rPr>
      </w:r>
    </w:p>
    <w:p>
      <w:pPr>
        <w:pStyle w:val="Body"/>
        <w:tabs>
          <w:tab w:val="left" w:pos="9180" w:leader="none"/>
        </w:tabs>
        <w:rPr/>
      </w:pPr>
      <w:r>
        <w:rPr>
          <w:rFonts w:cs="Arial"/>
          <w:color w:val="000000"/>
          <w:sz w:val="24"/>
          <w:u w:val="single"/>
        </w:rPr>
        <w:t>FERC Proceedings Reallocation of Capacity/Market Uncertainty</w:t>
      </w:r>
      <w:r>
        <w:rPr>
          <w:rFonts w:cs="Arial"/>
          <w:color w:val="000000"/>
          <w:sz w:val="24"/>
        </w:rPr>
        <w:t>.  You should be aware of the currently pending FERC proceedings that will materially change El Paso’s current capacity allocation practices.  Shippers that currently have the freedom to nominate from 6 pooling points or supply basins will soon be forced to nominate more specifically to as many as 20 pooling points on the receipt point end of El Paso’s system.  Further, all El Paso shippers will be required to establish primary receipt point capacity at the new pooling points; a forced allocation mechanism will be employed to spread oversubscribed receipt point capacity on a prorata basis among shippers.  Lastly, as you are well aware, a number of complaints have been filed at FERC seeking rate caps and unbundling of gas/transportation sales transactions in the California market. The uncertainty posed by these changes should be factored into the value placed the Capacity.</w:t>
      </w:r>
    </w:p>
    <w:p>
      <w:pPr>
        <w:pStyle w:val="Body"/>
        <w:tabs>
          <w:tab w:val="left" w:pos="9180" w:leader="none"/>
        </w:tabs>
        <w:rPr>
          <w:rFonts w:cs="Arial"/>
          <w:color w:val="000000"/>
          <w:sz w:val="24"/>
        </w:rPr>
      </w:pPr>
      <w:r>
        <w:rPr>
          <w:rFonts w:cs="Arial"/>
          <w:color w:val="000000"/>
          <w:sz w:val="24"/>
        </w:rPr>
      </w:r>
    </w:p>
    <w:p>
      <w:pPr>
        <w:pStyle w:val="Body"/>
        <w:tabs>
          <w:tab w:val="left" w:pos="9180" w:leader="none"/>
        </w:tabs>
        <w:rPr>
          <w:rFonts w:cs="Arial"/>
          <w:color w:val="000000"/>
          <w:sz w:val="24"/>
        </w:rPr>
      </w:pPr>
      <w:r>
        <w:rPr>
          <w:rFonts w:cs="Arial"/>
          <w:color w:val="000000"/>
          <w:sz w:val="24"/>
        </w:rPr>
        <w:t>A more detailed discussion of the points set forth above is attached to this Memorandum.  I can be reached at 3-7238 should you have any questions.</w:t>
      </w:r>
    </w:p>
    <w:p>
      <w:pPr>
        <w:pStyle w:val="Body"/>
        <w:tabs>
          <w:tab w:val="left" w:pos="9180" w:leader="none"/>
        </w:tabs>
        <w:rPr>
          <w:rFonts w:cs="Arial"/>
          <w:color w:val="000000"/>
          <w:sz w:val="24"/>
        </w:rPr>
      </w:pPr>
      <w:r>
        <w:rPr>
          <w:rFonts w:cs="Arial"/>
          <w:color w:val="000000"/>
          <w:sz w:val="24"/>
        </w:rPr>
      </w:r>
    </w:p>
    <w:p>
      <w:pPr>
        <w:pStyle w:val="Body"/>
        <w:tabs>
          <w:tab w:val="left" w:pos="720" w:leader="none"/>
        </w:tabs>
        <w:rPr>
          <w:color w:val="000000"/>
          <w:sz w:val="24"/>
        </w:rPr>
      </w:pPr>
      <w:r>
        <w:rPr>
          <w:color w:val="000000"/>
          <w:sz w:val="24"/>
        </w:rPr>
        <w:t>cc:</w:t>
        <w:tab/>
        <w:t>Stephanie Miller</w:t>
      </w:r>
    </w:p>
    <w:p>
      <w:pPr>
        <w:pStyle w:val="Body"/>
        <w:tabs>
          <w:tab w:val="left" w:pos="720" w:leader="none"/>
        </w:tabs>
        <w:rPr>
          <w:color w:val="000000"/>
          <w:sz w:val="24"/>
        </w:rPr>
      </w:pPr>
      <w:r>
        <w:rPr>
          <w:color w:val="000000"/>
          <w:sz w:val="24"/>
        </w:rPr>
        <w:tab/>
        <w:t>Rebecca Cantrell</w:t>
      </w:r>
    </w:p>
    <w:p>
      <w:pPr>
        <w:pStyle w:val="Body"/>
        <w:tabs>
          <w:tab w:val="left" w:pos="720" w:leader="none"/>
        </w:tabs>
        <w:rPr>
          <w:color w:val="000000"/>
          <w:sz w:val="24"/>
        </w:rPr>
      </w:pPr>
      <w:r>
        <w:rPr>
          <w:color w:val="000000"/>
          <w:sz w:val="24"/>
        </w:rPr>
        <w:tab/>
        <w:t>Barry Tycholiz</w:t>
      </w:r>
    </w:p>
    <w:p>
      <w:pPr>
        <w:pStyle w:val="Body"/>
        <w:tabs>
          <w:tab w:val="left" w:pos="720" w:leader="none"/>
        </w:tabs>
        <w:rPr>
          <w:color w:val="000000"/>
          <w:sz w:val="24"/>
        </w:rPr>
      </w:pPr>
      <w:r>
        <w:rPr>
          <w:color w:val="000000"/>
          <w:sz w:val="24"/>
        </w:rPr>
        <w:tab/>
        <w:t>Philip Allen</w:t>
      </w:r>
    </w:p>
    <w:p>
      <w:pPr>
        <w:pStyle w:val="Body"/>
        <w:tabs>
          <w:tab w:val="left" w:pos="720" w:leader="none"/>
        </w:tabs>
        <w:rPr>
          <w:color w:val="000000"/>
          <w:sz w:val="24"/>
        </w:rPr>
      </w:pPr>
      <w:r>
        <w:rPr>
          <w:color w:val="000000"/>
          <w:sz w:val="24"/>
        </w:rPr>
        <w:tab/>
        <w:t>Randall Rich</w:t>
      </w:r>
    </w:p>
    <w:p>
      <w:pPr>
        <w:pStyle w:val="Body"/>
        <w:tabs>
          <w:tab w:val="left" w:pos="720" w:leader="none"/>
        </w:tabs>
        <w:rPr>
          <w:color w:val="000000"/>
          <w:sz w:val="24"/>
        </w:rPr>
      </w:pPr>
      <w:r>
        <w:rPr>
          <w:color w:val="000000"/>
          <w:sz w:val="24"/>
        </w:rPr>
        <w:tab/>
        <w:t>Tracey Bradley</w:t>
      </w:r>
    </w:p>
    <w:p>
      <w:pPr>
        <w:pStyle w:val="Body"/>
        <w:tabs>
          <w:tab w:val="left" w:pos="720" w:leader="none"/>
        </w:tabs>
        <w:rPr>
          <w:color w:val="000000"/>
          <w:sz w:val="24"/>
        </w:rPr>
      </w:pPr>
      <w:r>
        <w:rPr>
          <w:color w:val="000000"/>
          <w:sz w:val="24"/>
        </w:rPr>
        <w:tab/>
        <w:t>Jeff Hodge</w:t>
      </w:r>
    </w:p>
    <w:p>
      <w:pPr>
        <w:pStyle w:val="Body"/>
        <w:tabs>
          <w:tab w:val="left" w:pos="720" w:leader="none"/>
        </w:tabs>
        <w:rPr>
          <w:color w:val="000000"/>
          <w:sz w:val="24"/>
        </w:rPr>
      </w:pPr>
      <w:r>
        <w:rPr>
          <w:color w:val="000000"/>
          <w:sz w:val="24"/>
        </w:rPr>
        <w:tab/>
        <w:t>Barbara Gray</w:t>
      </w:r>
      <w:r>
        <w:br w:type="page"/>
      </w:r>
    </w:p>
    <w:p>
      <w:pPr>
        <w:pStyle w:val="Body"/>
        <w:tabs>
          <w:tab w:val="left" w:pos="9180" w:leader="none"/>
        </w:tabs>
        <w:jc w:val="center"/>
        <w:rPr>
          <w:rFonts w:cs="Arial"/>
          <w:b/>
          <w:bCs/>
          <w:color w:val="000000"/>
          <w:sz w:val="24"/>
        </w:rPr>
      </w:pPr>
      <w:r>
        <w:rPr>
          <w:rFonts w:cs="Arial"/>
          <w:b/>
          <w:bCs/>
          <w:color w:val="000000"/>
          <w:sz w:val="24"/>
        </w:rPr>
        <w:t>APPENDIX</w:t>
      </w:r>
    </w:p>
    <w:p>
      <w:pPr>
        <w:pStyle w:val="Body"/>
        <w:tabs>
          <w:tab w:val="left" w:pos="9180" w:leader="none"/>
        </w:tabs>
        <w:jc w:val="center"/>
        <w:rPr>
          <w:rFonts w:cs="Arial"/>
          <w:b/>
          <w:bCs/>
          <w:color w:val="000000"/>
          <w:sz w:val="24"/>
          <w:u w:val="single"/>
        </w:rPr>
      </w:pPr>
      <w:r>
        <w:rPr>
          <w:rFonts w:cs="Arial"/>
          <w:b/>
          <w:bCs/>
          <w:color w:val="000000"/>
          <w:sz w:val="24"/>
          <w:u w:val="single"/>
        </w:rPr>
        <w:t>SUPPORTING INFORMATION</w:t>
      </w:r>
    </w:p>
    <w:p>
      <w:pPr>
        <w:pStyle w:val="Body"/>
        <w:tabs>
          <w:tab w:val="left" w:pos="9180" w:leader="none"/>
        </w:tabs>
        <w:rPr>
          <w:rFonts w:cs="Arial"/>
          <w:b/>
          <w:bCs/>
          <w:color w:val="000000"/>
          <w:sz w:val="24"/>
          <w:u w:val="single"/>
        </w:rPr>
      </w:pPr>
      <w:r>
        <w:rPr>
          <w:rFonts w:cs="Arial"/>
          <w:b/>
          <w:bCs/>
          <w:color w:val="000000"/>
          <w:sz w:val="24"/>
          <w:u w:val="single"/>
        </w:rPr>
      </w:r>
    </w:p>
    <w:p>
      <w:pPr>
        <w:pStyle w:val="Body"/>
        <w:tabs>
          <w:tab w:val="left" w:pos="9180" w:leader="none"/>
        </w:tabs>
        <w:spacing w:before="0" w:after="120"/>
        <w:rPr/>
      </w:pPr>
      <w:r>
        <w:rPr>
          <w:rFonts w:cs="Arial"/>
          <w:color w:val="000000"/>
          <w:u w:val="single"/>
        </w:rPr>
        <w:t>Contract Documentation</w:t>
      </w:r>
      <w:r>
        <w:rPr>
          <w:rFonts w:cs="Arial"/>
          <w:color w:val="000000"/>
        </w:rPr>
        <w:t>.  Section 28 of El Paso’s Tariff outlines the terms of its Capacity Release Program.  Capacity Release transactions are designed to be electronically executed between El Paso and the Acquiring Shipper upon El Paso’s award of the capacity (Section 28.11(b)).  I have reviewed printouts of the 7 Award Detail screens that El Paso caused to be posted on its Passport Internet based Bulletin Board on February 22, 2001 (together with 3 Award Detail screens El Paso posted on March 30, 2001, which show a transfer of 23,618 MMBtu/d of capacity originally awarded to Enron Energy Services, Inc. to ENA).  The details of the Capacity transactions are consistent with the terms outlined in the screen prints of the offers that ENA bid upon and are consistent with other terms relayed by the trading desk personnel.</w:t>
      </w:r>
    </w:p>
    <w:p>
      <w:pPr>
        <w:pStyle w:val="Body"/>
        <w:tabs>
          <w:tab w:val="left" w:pos="9180" w:leader="none"/>
        </w:tabs>
        <w:rPr/>
      </w:pPr>
      <w:r>
        <w:rPr>
          <w:rFonts w:cs="Arial"/>
          <w:color w:val="000000"/>
        </w:rPr>
        <w:t xml:space="preserve">In addition I have reviewed the Trading Partner Agreement currently in effect between El Paso and ENA to determine whether it meet the requirements of the El Paso Tariff Section 28.11 provision applicable to execution of agreements.  Section 28.11 provides that the El Paso provided  “Master Replacement Agreement, in combination with information stored electronically on all future capacity release transactions involving the Acquiring Shipper will comprise the contractual agreement of the parties.”  There is no definition of the term Master Replacement Agreement in the Tariff; however, the Trading Partner Agreement is on El Paso letterhead, indicating it was </w:t>
      </w:r>
      <w:r>
        <w:rPr>
          <w:rFonts w:cs="Arial"/>
          <w:i/>
          <w:iCs/>
          <w:color w:val="000000"/>
        </w:rPr>
        <w:t>provided by</w:t>
      </w:r>
      <w:r>
        <w:rPr>
          <w:rFonts w:cs="Arial"/>
          <w:color w:val="000000"/>
        </w:rPr>
        <w:t xml:space="preserve"> El Paso.  More importantly, the Trading Partner Agreement specifically contemplates that Capacity Release Offers and Awards are to be executed electronically.  In conclusion, although ENA and El Paso intend to enter into paper based Transportation Service Agreements (copies of which have been promised by El Paso this week), execution of such documents is not necessary in order to establish or preserve ENA’s rights, contractual or otherwise, in the Capacity.</w:t>
      </w:r>
    </w:p>
    <w:p>
      <w:pPr>
        <w:pStyle w:val="Body"/>
        <w:tabs>
          <w:tab w:val="left" w:pos="9180" w:leader="none"/>
        </w:tabs>
        <w:rPr>
          <w:rFonts w:cs="Arial"/>
          <w:color w:val="000000"/>
        </w:rPr>
      </w:pPr>
      <w:r>
        <w:rPr>
          <w:rFonts w:cs="Arial"/>
          <w:color w:val="000000"/>
        </w:rPr>
      </w:r>
    </w:p>
    <w:p>
      <w:pPr>
        <w:pStyle w:val="Body"/>
        <w:tabs>
          <w:tab w:val="left" w:pos="9180" w:leader="none"/>
        </w:tabs>
        <w:spacing w:before="0" w:after="120"/>
        <w:rPr/>
      </w:pPr>
      <w:r>
        <w:rPr>
          <w:rFonts w:cs="Arial"/>
          <w:color w:val="000000"/>
          <w:u w:val="single"/>
        </w:rPr>
        <w:t>Block II Capacity Recall Rights</w:t>
      </w:r>
      <w:r>
        <w:rPr>
          <w:rFonts w:cs="Arial"/>
          <w:color w:val="000000"/>
        </w:rPr>
        <w:t>.  Section 4.5 (b)(ii) of El Paso’s Tariff identifies a block of 614MMcf/d of pipeline capacity as designated for primary point deliveries to the Topock Delivery Point, for PG&amp;E or “shipper(s) serving a market in PG&amp;E’s service territory (“Block II Shippers”)”.  Thus, if Block II capacity were to be used by ENA to serve non-PG&amp;E service territory markets, Section 4.5(b)(ii) provides that when all 614MMcf/d of Block II capacity is in use, the Block II Shippers could on staggered notice [48 hours (as to 350MMcf/d), one month (as to 150 MMcf/d) and three months (as to the remaining 114MMcf/d)], call such Block II capacity away from ENA.</w:t>
      </w:r>
    </w:p>
    <w:p>
      <w:pPr>
        <w:pStyle w:val="Body"/>
        <w:tabs>
          <w:tab w:val="left" w:pos="9180" w:leader="none"/>
        </w:tabs>
        <w:rPr/>
      </w:pPr>
      <w:r>
        <w:rPr>
          <w:rFonts w:cs="Arial"/>
          <w:color w:val="000000"/>
        </w:rPr>
        <w:t xml:space="preserve">No less than seven FERC Orders have touched on the subject of Section 4.5 and the extent of rights it does or does not bestow upon Block II Shippers.  Ironically, the most helpful of these Orders, in terms of outlining how a replacement capacity shipper (such as ENA) can insulate itself from capacity recall, is contained in a January 19, 2000 Order involving ENA’s award of 579,797 Mcf/d of Block II capacity; ENA subsequently reached mutual agreement to return such capacity to El Paso because of FERC’s restructuring of the transaction in a manner that triggered the regulatory out clause—a factor not present in the instant transaction.  The Order is nevertheless pertinent and helpful to ENA in two key ways.  First, responding to a request for clarification from the California Public Utility Commission (CPUC), FERC reiterated its position there is no right of recall if the Block II capacity is simply idle, that is, the capacity may </w:t>
      </w:r>
      <w:r>
        <w:rPr>
          <w:rFonts w:cs="Arial"/>
          <w:color w:val="000000"/>
          <w:u w:val="single"/>
        </w:rPr>
        <w:t>only</w:t>
      </w:r>
      <w:r>
        <w:rPr>
          <w:rFonts w:cs="Arial"/>
          <w:color w:val="000000"/>
        </w:rPr>
        <w:t xml:space="preserve"> be recalled by a Block II Shipper if it is then being used to serve points other than those behind the PG&amp;E Topock Delivery Point.  Second, FERC clarified that ENA may further recall the capacity for its own use in the PG&amp;E service territory upon 24 hours notice; FERC specifically rejected the CPUC’s argument that such construction is inconsistent with the 1996 settlement that gave rise to Section 4.5 in the first place.</w:t>
      </w:r>
    </w:p>
    <w:p>
      <w:pPr>
        <w:pStyle w:val="Body"/>
        <w:tabs>
          <w:tab w:val="left" w:pos="9180" w:leader="none"/>
        </w:tabs>
        <w:rPr>
          <w:rFonts w:cs="Arial"/>
          <w:color w:val="000000"/>
        </w:rPr>
      </w:pPr>
      <w:r>
        <w:rPr>
          <w:rFonts w:cs="Arial"/>
          <w:color w:val="000000"/>
        </w:rPr>
      </w:r>
    </w:p>
    <w:p>
      <w:pPr>
        <w:pStyle w:val="BodyTextIndent"/>
        <w:spacing w:before="0" w:after="120"/>
        <w:rPr/>
      </w:pPr>
      <w:r>
        <w:rPr>
          <w:u w:val="single"/>
        </w:rPr>
        <w:t>Pending El Paso Capacity Allocation Proceedings</w:t>
      </w:r>
      <w:r>
        <w:rPr/>
        <w:t>.  On February 26. 2001 FERC issued an order requiring El Paso to submit a proposal in its Order No. 637 proceeding to address system-wide capacity allocation issues on its system.  This order stems from a complaint filed by Amoco and Burlington in 1999 because shippers nominating for delivery into SoCal Gas at the Topock point were facing 30-60% cuts of their gas on a daily basis even though they had firm contracts.  El Paso was recently required to allocate the capacity at the various Topock delivery points on a primary basis to the affected shippers.  This reallocation will become effective on May 1, 2001.</w:t>
      </w:r>
    </w:p>
    <w:p>
      <w:pPr>
        <w:pStyle w:val="BodyTextIndent"/>
        <w:spacing w:before="0" w:after="120"/>
        <w:rPr/>
      </w:pPr>
      <w:r>
        <w:rPr/>
        <w:t>In compliance with the February 26 order, El Paso now proposes to establish primary firm receipt point rights for the shippers on its system in much the same manner that it allocated the primary firm rights at the Topock delivery points.  The receipt allocation process is complicated by the fact that certain East-of-California full-requirements customers do not have maximum contract quantities on which to base an allocation.  Therefore, El Paso proposes to use the quantities on which they are billed each month to determine their primary rights.  El Paso will also use receipt pools for the allocation rather than going all the way back to the wellhead and will increase the number of pools from the current six to twenty.  In the first round, shippers will elect their preferred receipt pool(s).  All elections that exceed the available capacity at a particular pool will be allocated pro rata using the current tariff provisions for capacity allocation.  This process will be repeated until each shipper’s entitlement has been assigned to primary receipt locations.  El Paso only filed this proposal a few days ago.  It recognizes that parties will have a lot of questions, and has offered to participate in technical conferences as necessary to bring the proceeding to a prompt resolution.</w:t>
      </w:r>
    </w:p>
    <w:p>
      <w:pPr>
        <w:pStyle w:val="BodyTextIndent"/>
        <w:spacing w:before="0" w:after="120"/>
        <w:rPr/>
      </w:pPr>
      <w:r>
        <w:rPr/>
        <w:t>Allocation of receipt point rights on El Paso’s system has been a contentious issue since at least its 1988 rate case, but it appears that FERC is at last determined to have the issued resolved in this proceeding.  As a firm shipper, ENA will be required to elect its primary receipt point rights and take its allocations along with everyone else.  We should not expect to get all of our capacity at the most desired points, but we will get a pro rata share.  We will still have secondary receipt point rights over the rest of the system.</w:t>
      </w:r>
    </w:p>
    <w:p>
      <w:pPr>
        <w:pStyle w:val="Body"/>
        <w:tabs>
          <w:tab w:val="left" w:pos="9180" w:leader="none"/>
        </w:tabs>
        <w:rPr>
          <w:rFonts w:cs="Arial"/>
          <w:color w:val="000000"/>
        </w:rPr>
      </w:pPr>
      <w:r>
        <w:rPr>
          <w:rFonts w:cs="Arial"/>
          <w:color w:val="000000"/>
        </w:rPr>
      </w:r>
    </w:p>
    <w:p>
      <w:pPr>
        <w:pStyle w:val="Normal"/>
        <w:tabs>
          <w:tab w:val="clear" w:pos="540"/>
        </w:tabs>
        <w:overflowPunct w:val="true"/>
        <w:spacing w:lineRule="atLeast" w:line="240" w:before="0" w:after="120"/>
        <w:ind w:start="72" w:end="0"/>
        <w:textAlignment w:val="auto"/>
        <w:rPr/>
      </w:pPr>
      <w:r>
        <w:rPr>
          <w:rFonts w:cs="Arial"/>
          <w:sz w:val="20"/>
          <w:u w:val="single"/>
        </w:rPr>
        <w:t>Pending California Market/Price Cap Proceedings</w:t>
      </w:r>
      <w:r>
        <w:rPr>
          <w:rFonts w:cs="Arial"/>
          <w:sz w:val="20"/>
        </w:rPr>
        <w:t xml:space="preserve">.  </w:t>
      </w:r>
      <w:r>
        <w:rPr>
          <w:sz w:val="20"/>
        </w:rPr>
        <w:t xml:space="preserve">On December 7, 2000, </w:t>
      </w:r>
      <w:r>
        <w:rPr>
          <w:rFonts w:cs="Arial"/>
          <w:sz w:val="20"/>
        </w:rPr>
        <w:t>San Diego Gas &amp; Electric Company</w:t>
      </w:r>
      <w:r>
        <w:rPr>
          <w:sz w:val="20"/>
        </w:rPr>
        <w:t xml:space="preserve"> (SDG&amp;E) filed a petition for emergency relief in </w:t>
      </w:r>
      <w:r>
        <w:rPr>
          <w:rFonts w:cs="Arial"/>
          <w:sz w:val="20"/>
        </w:rPr>
        <w:t>Docket No. RP01-180-000</w:t>
      </w:r>
      <w:r>
        <w:rPr>
          <w:sz w:val="20"/>
        </w:rPr>
        <w:t xml:space="preserve"> seeking the following relief: (i) reimposition of price caps for short-term releases of capacity to the California border and to points of interconnection between interstate pipelines and California LDCs, to be made effective immediately and kept in effect until March 31, 2001; and (ii) a requirement that sellers be required to state separately the transportation and commodity components of the bundled rate for sales at these points so that the cap can be enforced on these transactions. In the alternative, SDG&amp;E seeks imposition of a cap on bundled sales through a mechanism that caps bundled sales at these points at 150 percent of the sum of a reported average commodity sales price plus the as-billed rate for interstate transportation.  FERC staff sent data requests to sellers (including ENA) on December 22, 2000; seller responses were due in mid-January. On January 16, 2001, FERC issued an order permitting sellers to seek privileged treatment for information contained in their responses.</w:t>
      </w:r>
    </w:p>
    <w:p>
      <w:pPr>
        <w:pStyle w:val="BodyTextIndent"/>
        <w:spacing w:before="0" w:after="120"/>
        <w:rPr/>
      </w:pPr>
      <w:r>
        <w:rPr>
          <w:rFonts w:cs="Times New Roman"/>
        </w:rPr>
        <w:t>More recently, on February 1, 2001, the National Association of Gas Consumers (NAGC), filed a complaint in Docket No. RP01-223-000 alleging that the markets for natural gas are not workably competitive, thereby rendering unjust and unreasonable prices</w:t>
      </w:r>
      <w:r>
        <w:rPr/>
        <w:t xml:space="preserve"> and the Los Angeles Department of Water and Power filed an emergency petition in RP01-222 alleging that high natural gas costs were partly responsible for the energy crisis in California.  </w:t>
      </w:r>
      <w:r>
        <w:rPr>
          <w:rFonts w:cs="Times New Roman"/>
        </w:rPr>
        <w:t xml:space="preserve">.  NAGC requests that FERC issue an order setting a benchmark price for gas at $2.74 (a benchmark price projected by National Petroleum Council), and rule that any sales above this level be subject to complaints filed at FERC for refunds for three years commencing January 1, 2001.  Alternatively, NAGC asks FERC to establish an investigation into natural gas prices (which would include refunds if excessive prices are found to have been charged consumers).  </w:t>
      </w:r>
      <w:r>
        <w:rPr/>
        <w:t>LADWP asks FERC to reimpose the price cap on short-term capacity release and pipeline capacity transactions.</w:t>
      </w:r>
    </w:p>
    <w:p>
      <w:pPr>
        <w:pStyle w:val="BodyTextIndent"/>
        <w:spacing w:before="0" w:after="120"/>
        <w:rPr>
          <w:rFonts w:cs="Times New Roman"/>
        </w:rPr>
      </w:pPr>
      <w:r>
        <w:rPr>
          <w:rFonts w:cs="Times New Roman"/>
        </w:rPr>
        <w:t>The foregoing are but an example of the scrutiny that shippers and sellers to the California gas market are and will continue to receive.  Because ENA is an affiliate of an interstate pipeline company, the prices that ENA charges for gas sold in interstate commerce are subject to FERC rate regulation under the Natural Gas Act; ENA currently benefits from a blanket certificate that permits it to charge “market rates.”  Given the expected composition of the five-member commission, ENA should continue to enjoy the same market pricing rights as “non-affiliated” gas marketers who are not subject to FERC’s rate regulation jurisdiction; however, FERC does have discretion to withdraw the blanket certificate and no doubt consumer activists will continue to be motivated to push that agenda.  Any attempt by the CPUC, SDG&amp;E, the NAFD or any other interest group to limit competition in the California gas markets will need to continue to be vigorously opposed by ENA’s regulatory affairs personnel.</w:t>
      </w:r>
    </w:p>
    <w:p>
      <w:pPr>
        <w:pStyle w:val="Body"/>
        <w:tabs>
          <w:tab w:val="left" w:pos="9180" w:leader="none"/>
        </w:tabs>
        <w:rPr>
          <w:rFonts w:cs="Times New Roman"/>
          <w:color w:val="000000"/>
        </w:rPr>
      </w:pPr>
      <w:r>
        <w:rPr>
          <w:rFonts w:cs="Times New Roman"/>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p>
      <w:pPr>
        <w:pStyle w:val="Body"/>
        <w:tabs>
          <w:tab w:val="left" w:pos="9180" w:leader="none"/>
        </w:tabs>
        <w:rPr>
          <w:color w:val="000000"/>
        </w:rPr>
      </w:pPr>
      <w:r>
        <w:rPr>
          <w:color w:val="00000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spacing w:lineRule="atLeast" w:line="240"/>
      <w:textAlignment w:val="auto"/>
    </w:pPr>
    <w:rPr>
      <w:rFonts w:cs="Arial"/>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spacing w:lineRule="atLeast" w:line="240"/>
      <w:ind w:hanging="0" w:start="72" w:end="0"/>
      <w:textAlignment w:val="auto"/>
    </w:pPr>
    <w:rPr>
      <w:rFonts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2001-04-05T13:48:00Z</dcterms:created>
  <dc:creator>svanhoo</dc:creator>
  <dc:description/>
  <dc:language>en-CA</dc:language>
  <cp:lastModifiedBy>svanhoo</cp:lastModifiedBy>
  <cp:lastPrinted>2001-04-05T16:45:00Z</cp:lastPrinted>
  <dcterms:modified xsi:type="dcterms:W3CDTF">2001-04-05T19:16:00Z</dcterms:modified>
  <cp:revision>22</cp:revision>
  <dc:subject/>
  <dc:title>Better, Faster, Simpler Memo </dc:title>
</cp:coreProperties>
</file>