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r>
    </w:p>
    <w:p>
      <w:pPr>
        <w:pStyle w:val="Normal"/>
        <w:jc w:val="center"/>
        <w:rPr>
          <w:b/>
          <w:sz w:val="36"/>
        </w:rPr>
      </w:pPr>
      <w:r>
        <w:rPr>
          <w:b/>
          <w:sz w:val="36"/>
        </w:rPr>
        <w:t>LOST CREEK GATHERING COMPANY, L.L.C.</w:t>
      </w:r>
    </w:p>
    <w:p>
      <w:pPr>
        <w:pStyle w:val="Normal"/>
        <w:rPr>
          <w:b/>
          <w:sz w:val="36"/>
        </w:rPr>
      </w:pPr>
      <w:r>
        <w:rPr>
          <w:b/>
          <w:sz w:val="36"/>
        </w:rPr>
      </w:r>
    </w:p>
    <w:p>
      <w:pPr>
        <w:pStyle w:val="Normal"/>
        <w:rPr>
          <w:sz w:val="36"/>
        </w:rPr>
      </w:pPr>
      <w:r>
        <w:rPr>
          <w:sz w:val="36"/>
        </w:rPr>
      </w:r>
    </w:p>
    <w:p>
      <w:pPr>
        <w:pStyle w:val="Normal"/>
        <w:jc w:val="center"/>
        <w:rPr>
          <w:b/>
          <w:sz w:val="36"/>
        </w:rPr>
      </w:pPr>
      <w:r>
        <w:rPr>
          <w:b/>
          <w:sz w:val="36"/>
        </w:rPr>
        <w:t>WIND RIVER GAS GATHERING PROJECT</w:t>
      </w:r>
    </w:p>
    <w:p>
      <w:pPr>
        <w:pStyle w:val="Normal"/>
        <w:rPr>
          <w:b/>
          <w:sz w:val="36"/>
        </w:rPr>
      </w:pPr>
      <w:r>
        <w:rPr>
          <w:b/>
          <w:sz w:val="36"/>
        </w:rPr>
      </w:r>
    </w:p>
    <w:p>
      <w:pPr>
        <w:pStyle w:val="Normal"/>
        <w:rPr>
          <w:sz w:val="36"/>
        </w:rPr>
      </w:pPr>
      <w:r>
        <w:rPr>
          <w:sz w:val="36"/>
        </w:rPr>
      </w:r>
    </w:p>
    <w:p>
      <w:pPr>
        <w:pStyle w:val="Normal"/>
        <w:jc w:val="center"/>
        <w:rPr>
          <w:b/>
          <w:sz w:val="36"/>
        </w:rPr>
      </w:pPr>
      <w:r>
        <w:rPr>
          <w:b/>
          <w:sz w:val="36"/>
        </w:rPr>
        <w:t>$56,100,000 TERM LOAN PROJECT FINANCING</w:t>
      </w:r>
    </w:p>
    <w:p>
      <w:pPr>
        <w:pStyle w:val="Normal"/>
        <w:rPr>
          <w:b/>
          <w:sz w:val="36"/>
        </w:rPr>
      </w:pPr>
      <w:r>
        <w:rPr>
          <w:b/>
          <w:sz w:val="36"/>
        </w:rPr>
      </w:r>
    </w:p>
    <w:p>
      <w:pPr>
        <w:pStyle w:val="Normal"/>
        <w:rPr>
          <w:sz w:val="36"/>
        </w:rPr>
      </w:pPr>
      <w:r>
        <w:rPr>
          <w:sz w:val="36"/>
        </w:rPr>
      </w:r>
    </w:p>
    <w:p>
      <w:pPr>
        <w:pStyle w:val="Normal"/>
        <w:jc w:val="center"/>
        <w:rPr>
          <w:b/>
          <w:sz w:val="36"/>
        </w:rPr>
      </w:pPr>
      <w:r>
        <w:rPr>
          <w:b/>
          <w:sz w:val="36"/>
        </w:rPr>
        <w:t>CONVERSION CHECKLIST</w:t>
      </w:r>
    </w:p>
    <w:p>
      <w:pPr>
        <w:pStyle w:val="Normal"/>
        <w:rPr>
          <w:b/>
          <w:sz w:val="36"/>
        </w:rPr>
      </w:pPr>
      <w:r>
        <w:rPr>
          <w:b/>
          <w:sz w:val="36"/>
        </w:rPr>
      </w:r>
    </w:p>
    <w:p>
      <w:pPr>
        <w:pStyle w:val="Normal"/>
        <w:rPr>
          <w:sz w:val="36"/>
        </w:rPr>
      </w:pPr>
      <w:r>
        <w:rPr>
          <w:sz w:val="36"/>
        </w:rPr>
      </w:r>
    </w:p>
    <w:p>
      <w:pPr>
        <w:pStyle w:val="Normal"/>
        <w:rPr>
          <w:sz w:val="36"/>
        </w:rPr>
      </w:pPr>
      <w:r>
        <w:rPr>
          <w:sz w:val="36"/>
        </w:rPr>
      </w:r>
    </w:p>
    <w:p>
      <w:pPr>
        <w:pStyle w:val="Normal"/>
        <w:rPr>
          <w:sz w:val="36"/>
        </w:rPr>
      </w:pPr>
      <w:r>
        <w:rPr>
          <w:sz w:val="36"/>
        </w:rPr>
      </w:r>
    </w:p>
    <w:p>
      <w:pPr>
        <w:pStyle w:val="Normal"/>
        <w:jc w:val="center"/>
        <w:rPr>
          <w:b/>
          <w:sz w:val="36"/>
          <w:u w:val="single"/>
        </w:rPr>
      </w:pPr>
      <w:r>
        <w:rPr>
          <w:b/>
          <w:sz w:val="36"/>
          <w:u w:val="single"/>
        </w:rPr>
        <w:t>CONFIDENTIAL</w:t>
      </w:r>
    </w:p>
    <w:p>
      <w:pPr>
        <w:pStyle w:val="Normal"/>
        <w:jc w:val="center"/>
        <w:rPr>
          <w:b/>
          <w:sz w:val="36"/>
          <w:u w:val="single"/>
        </w:rPr>
      </w:pPr>
      <w:r>
        <w:rPr>
          <w:b/>
          <w:sz w:val="36"/>
          <w:u w:val="single"/>
        </w:rPr>
      </w:r>
    </w:p>
    <w:p>
      <w:pPr>
        <w:pStyle w:val="Title"/>
        <w:rPr/>
      </w:pPr>
      <w:r>
        <w:rPr/>
        <w:t>CLOSING DOCUMENT CHECKLIST</w:t>
      </w:r>
    </w:p>
    <w:p>
      <w:pPr>
        <w:pStyle w:val="Normal"/>
        <w:ind w:firstLine="1440" w:end="0"/>
        <w:rPr/>
      </w:pPr>
      <w:r>
        <w:rPr>
          <w:sz w:val="20"/>
        </w:rPr>
        <w:t>Capitalized terms used but not defined herein shall have the meanings provided therefor in the Construction and Term Credit Agreement, dated as of September 24, 1999 (the “</w:t>
      </w:r>
      <w:r>
        <w:rPr>
          <w:sz w:val="20"/>
          <w:u w:val="single"/>
        </w:rPr>
        <w:t>Credit Agreement</w:t>
      </w:r>
      <w:r>
        <w:rPr>
          <w:sz w:val="20"/>
        </w:rPr>
        <w:t>”), among Lost Creek Gas Gathering Company, L.L.C., the lenders party thereto (the “</w:t>
      </w:r>
      <w:r>
        <w:rPr>
          <w:sz w:val="20"/>
          <w:u w:val="single"/>
        </w:rPr>
        <w:t>Banks</w:t>
      </w:r>
      <w:r>
        <w:rPr>
          <w:sz w:val="20"/>
        </w:rPr>
        <w:t>”), Barclays Bank PLC, as administrative agent for the Banks (the “</w:t>
      </w:r>
      <w:r>
        <w:rPr>
          <w:sz w:val="20"/>
          <w:u w:val="single"/>
        </w:rPr>
        <w:t>Administrative Agent</w:t>
      </w:r>
      <w:r>
        <w:rPr>
          <w:sz w:val="20"/>
        </w:rPr>
        <w:t>”) and Barclays Bank PLC, as lead arranger (the “</w:t>
      </w:r>
      <w:r>
        <w:rPr>
          <w:sz w:val="20"/>
          <w:u w:val="single"/>
        </w:rPr>
        <w:t>Lead Arranger</w:t>
      </w:r>
      <w:r>
        <w:rPr>
          <w:sz w:val="20"/>
        </w:rPr>
        <w:t>”).</w:t>
      </w:r>
    </w:p>
    <w:p>
      <w:pPr>
        <w:pStyle w:val="Normal"/>
        <w:rPr>
          <w:sz w:val="20"/>
        </w:rPr>
      </w:pPr>
      <w:r>
        <w:rPr>
          <w:sz w:val="20"/>
        </w:rPr>
      </w:r>
    </w:p>
    <w:tbl>
      <w:tblPr>
        <w:tblW w:w="14400" w:type="dxa"/>
        <w:jc w:val="start"/>
        <w:tblInd w:w="100" w:type="dxa"/>
        <w:tblLayout w:type="fixed"/>
        <w:tblCellMar>
          <w:top w:w="0" w:type="dxa"/>
          <w:start w:w="100" w:type="dxa"/>
          <w:bottom w:w="0" w:type="dxa"/>
          <w:end w:w="100" w:type="dxa"/>
        </w:tblCellMar>
      </w:tblPr>
      <w:tblGrid>
        <w:gridCol w:w="3690"/>
        <w:gridCol w:w="10710"/>
      </w:tblGrid>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b/>
                <w:sz w:val="20"/>
              </w:rPr>
              <w:t>Definitions</w:t>
            </w:r>
          </w:p>
        </w:tc>
        <w:tc>
          <w:tcPr>
            <w:tcW w:w="107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A&amp;K</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Andrews &amp; Kurth L.L.P., counsel to the Company and Enron</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Bank NY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Bank of New York</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Barclays</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Barclays Bank PLC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Burlington Resources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Burlington Resources Trading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Lost Creek Gathering Company,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 Wind River, L.L.C.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North America Corp.</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Corp.</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Merrick &amp; Company</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H&amp;H</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Holland &amp; Hart LLP, Wyoming counsel to the Company</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Independent Engineer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Stone &amp; Webster Management Consultants, Inc.</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Insurance Advisor</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Marsh Incorporated</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 Reavis &amp; Pogue, counsel to the Company and BR</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MB&amp;P</w:t>
            </w:r>
          </w:p>
        </w:tc>
        <w:tc>
          <w:tcPr>
            <w:tcW w:w="1071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Mayer, Brown &amp; Platt, counsel to the Lenders</w:t>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107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400" w:hRule="exact"/>
        </w:trPr>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1071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Normal"/>
        <w:rPr>
          <w:sz w:val="20"/>
        </w:rPr>
      </w:pPr>
      <w:r>
        <w:rPr>
          <w:sz w:val="20"/>
        </w:rPr>
      </w:r>
      <w:r>
        <w:br w:type="page"/>
      </w:r>
    </w:p>
    <w:p>
      <w:pPr>
        <w:pStyle w:val="Normal"/>
        <w:spacing w:before="0" w:after="240"/>
        <w:rPr>
          <w:sz w:val="20"/>
        </w:rPr>
      </w:pPr>
      <w:r>
        <w:rPr>
          <w:b/>
          <w:sz w:val="20"/>
          <w:u w:val="single"/>
        </w:rPr>
        <w:t>CONDITIONS PRECEDENT TO CONVERSION</w:t>
      </w:r>
    </w:p>
    <w:p>
      <w:pPr>
        <w:pStyle w:val="1LargeBullet"/>
        <w:numPr>
          <w:ilvl w:val="0"/>
          <w:numId w:val="15"/>
        </w:numPr>
        <w:rPr/>
      </w:pPr>
      <w:r>
        <w:rPr/>
        <w:t>The representations and warranties of the Company in Section 7 of the Credit Agreement (other than those in Section 7.02) and in the Completion Certificate shall be true and correct (both immediately prior to the conversion and after giving effect to such extension of credit and to the intended use of such extension of credit).</w:t>
      </w:r>
    </w:p>
    <w:p>
      <w:pPr>
        <w:pStyle w:val="1LargeBullet"/>
        <w:numPr>
          <w:ilvl w:val="0"/>
          <w:numId w:val="15"/>
        </w:numPr>
        <w:rPr/>
      </w:pPr>
      <w:r>
        <w:rPr/>
        <w:t>The Administrative Agent shall have received an officer’s certificate from the Company certifying that: (i) the representations and warranties contained in Section 7 of the Credit Agreement (other than those in Section 7.02) and in the Completion Certificate are true and correct on such date, and (ii) no Event of Default has occurred and is continuing on such date.</w:t>
      </w:r>
    </w:p>
    <w:p>
      <w:pPr>
        <w:pStyle w:val="1LargeBullet"/>
        <w:numPr>
          <w:ilvl w:val="0"/>
          <w:numId w:val="15"/>
        </w:numPr>
        <w:rPr/>
      </w:pPr>
      <w:r>
        <w:rPr/>
        <w:t>The Completion Date shall have occurred and the Administrative Agent received, at least five Business Days prior to the Term Conversion Date, the Completion Certificate.</w:t>
      </w:r>
    </w:p>
    <w:p>
      <w:pPr>
        <w:pStyle w:val="1LargeBullet"/>
        <w:numPr>
          <w:ilvl w:val="0"/>
          <w:numId w:val="15"/>
        </w:numPr>
        <w:rPr/>
      </w:pPr>
      <w:r>
        <w:rPr/>
        <w:t>The Administrative Agent shall have received legal opinions (dated the Term Conversion Date) of counsel to the Company as to the due authorization, execution, delivery and enforceability under New York law of the Term Notes and the other Basic Documents purported to be governed by New York law that are executed and delivered by the Company on the Term Conversion Date.</w:t>
      </w:r>
    </w:p>
    <w:p>
      <w:pPr>
        <w:pStyle w:val="1LargeBullet"/>
        <w:numPr>
          <w:ilvl w:val="0"/>
          <w:numId w:val="15"/>
        </w:numPr>
        <w:rPr/>
      </w:pPr>
      <w:r>
        <w:rPr/>
        <w:t>The Company shall have prepaid, or contemporaneously with the Term Conversion Date shall prepay, the Construction Loans with: (i) the proceeds of Equity Contributions and/or amounts on deposit in the Construction/Revenue Account pursuant to Section 10.04(b) of the Credit Agreement such that after giving effect to such prepayment the Company shall have paid for (or reserved for payment) not less than 15% of all Project Costs incurred to achieve the Completion Date, and (ii) the proceeds of the Term Loans.</w:t>
      </w:r>
    </w:p>
    <w:p>
      <w:pPr>
        <w:pStyle w:val="1LargeBullet"/>
        <w:numPr>
          <w:ilvl w:val="0"/>
          <w:numId w:val="15"/>
        </w:numPr>
        <w:rPr/>
      </w:pPr>
      <w:r>
        <w:rPr/>
        <w:t>The Administrative Agent shall have received lien waivers from the EPC Contractor and evidence that the EPC Contractor has received the same from major subcontractors (excepting in each case with respect to which the EPC Contractor has delivered to the Company and the Company has pledged to the Administrative Agent:  (A) one or more bonds in lieu of such lien waivers that the EPC Contractor has not been able to obtain, and (B) a certified copy of the final certificate of the EPC Contractor that bonds have been obtained by the EPC Contractor and delivered to the Company in lieu of such requested waivers of liens that the EPC Contractor has not so obtained).</w:t>
      </w:r>
    </w:p>
    <w:p>
      <w:pPr>
        <w:pStyle w:val="1LargeBullet"/>
        <w:numPr>
          <w:ilvl w:val="0"/>
          <w:numId w:val="15"/>
        </w:numPr>
        <w:rPr/>
      </w:pPr>
      <w:r>
        <w:rPr/>
        <w:t>Either (A) the Title Company shall have issued and delivered to the Administrative Agent the Title Policy providing title insurance to the Compressor/Dewpoint Site or (B) other arrangements shall have been entered into providing assurances to the Secured Parties with respect to title matters relating to the Compressor/Dewpoint Site.</w:t>
      </w:r>
    </w:p>
    <w:p>
      <w:pPr>
        <w:pStyle w:val="1LargeBullet"/>
        <w:numPr>
          <w:ilvl w:val="0"/>
          <w:numId w:val="15"/>
        </w:numPr>
        <w:rPr/>
      </w:pPr>
      <w:r>
        <w:rPr/>
        <w:t>The Administrative Agent shall have received an “as-built” survey of the Compressor/Dewpoint Site showing the completed Compressor/Dewpoint Facility.</w:t>
      </w:r>
    </w:p>
    <w:p>
      <w:pPr>
        <w:pStyle w:val="1LargeBullet"/>
        <w:numPr>
          <w:ilvl w:val="0"/>
          <w:numId w:val="15"/>
        </w:numPr>
        <w:rPr/>
      </w:pPr>
      <w:r>
        <w:rPr/>
        <w:t>The Company shall execute the Term Notes and the Compressor/Dewpoint Facility Mortgage and deliver them to the Administrative Agent.</w:t>
      </w:r>
    </w:p>
    <w:p>
      <w:pPr>
        <w:pStyle w:val="1LargeBullet"/>
        <w:numPr>
          <w:ilvl w:val="0"/>
          <w:numId w:val="15"/>
        </w:numPr>
        <w:rPr/>
      </w:pPr>
      <w:r>
        <w:rPr/>
        <w:t>The Company and the Administrative Agent shall execute the Security Agreement and, with the Securities Intermediary, the Securities Account Control Agreement.</w:t>
      </w:r>
    </w:p>
    <w:p>
      <w:pPr>
        <w:pStyle w:val="1LargeBullet"/>
        <w:numPr>
          <w:ilvl w:val="0"/>
          <w:numId w:val="15"/>
        </w:numPr>
        <w:rPr/>
      </w:pPr>
      <w:r>
        <w:rPr/>
        <w:t>ECT-WR and the Administrative Agent shall execute the ECT-WR Pledge Agreement.</w:t>
      </w:r>
    </w:p>
    <w:p>
      <w:pPr>
        <w:pStyle w:val="1LargeBullet"/>
        <w:numPr>
          <w:ilvl w:val="0"/>
          <w:numId w:val="15"/>
        </w:numPr>
        <w:rPr/>
      </w:pPr>
      <w:r>
        <w:rPr/>
        <w:t>BRTI and the Administrative Agent shall execute the BRTI Pledge Agreement.</w:t>
      </w:r>
    </w:p>
    <w:p>
      <w:pPr>
        <w:pStyle w:val="1LargeBullet"/>
        <w:numPr>
          <w:ilvl w:val="0"/>
          <w:numId w:val="15"/>
        </w:numPr>
        <w:rPr/>
      </w:pPr>
      <w:r>
        <w:rPr/>
        <w:t>Enron shall execute Guarantee Supplement No. 2.</w:t>
      </w:r>
    </w:p>
    <w:p>
      <w:pPr>
        <w:pStyle w:val="1LargeBullet"/>
        <w:numPr>
          <w:ilvl w:val="0"/>
          <w:numId w:val="15"/>
        </w:numPr>
        <w:rPr/>
      </w:pPr>
      <w:r>
        <w:rPr/>
        <w:t>BR shall execute Guarantee Supplement No. 2.</w:t>
      </w:r>
    </w:p>
    <w:p>
      <w:pPr>
        <w:pStyle w:val="1LargeBullet"/>
        <w:numPr>
          <w:ilvl w:val="0"/>
          <w:numId w:val="15"/>
        </w:numPr>
        <w:rPr/>
      </w:pPr>
      <w:r>
        <w:rPr/>
        <w:t>ECT-WR and the Administrative Agent shall execute, and the Company shall acknowledge the ECT-WR Consent to Assignment.</w:t>
      </w:r>
    </w:p>
    <w:p>
      <w:pPr>
        <w:pStyle w:val="1LargeBullet"/>
        <w:numPr>
          <w:ilvl w:val="0"/>
          <w:numId w:val="15"/>
        </w:numPr>
        <w:rPr/>
      </w:pPr>
      <w:r>
        <w:rPr/>
        <w:t>The EPC Contractor and the Administrative Agent shall execute, and the Company shall acknowledge, the EPC Contractor Consent to Assignment.</w:t>
      </w:r>
    </w:p>
    <w:p>
      <w:pPr>
        <w:pStyle w:val="1LargeBullet"/>
        <w:numPr>
          <w:ilvl w:val="0"/>
          <w:numId w:val="15"/>
        </w:numPr>
        <w:rPr/>
      </w:pPr>
      <w:r>
        <w:rPr/>
        <w:t>ENA and the Administrative Agent shall execute, and the Company shall acknowledge, the ENA Consent to Assignment.</w:t>
      </w:r>
    </w:p>
    <w:p>
      <w:pPr>
        <w:pStyle w:val="1LargeBullet"/>
        <w:numPr>
          <w:ilvl w:val="0"/>
          <w:numId w:val="15"/>
        </w:numPr>
        <w:rPr/>
      </w:pPr>
      <w:r>
        <w:rPr/>
        <w:t>BRTI and the Administrative Agent shall execute, and the Company shall acknowledge, the BRTI Consent to Assignment.</w:t>
      </w:r>
    </w:p>
    <w:p>
      <w:pPr>
        <w:pStyle w:val="1LargeBullet"/>
        <w:numPr>
          <w:ilvl w:val="0"/>
          <w:numId w:val="15"/>
        </w:numPr>
        <w:rPr/>
      </w:pPr>
      <w:r>
        <w:rPr/>
        <w:t>The Administrative Agent shall have received executed UCC-1 Financing Statements for the Company and the Members and copies of UCC search reports and tax lien, judgment and litigation search reports with respect to the Company and all other instruments to be recorded or filed or delivered in connection with the Security Agreement and Pledge Agreements.</w:t>
      </w:r>
    </w:p>
    <w:p>
      <w:pPr>
        <w:pStyle w:val="1LargeBullet"/>
        <w:numPr>
          <w:ilvl w:val="0"/>
          <w:numId w:val="15"/>
        </w:numPr>
        <w:rPr/>
      </w:pPr>
      <w:r>
        <w:rPr/>
        <w:t>The Compressor/Dewpoint Facility Mortgage shall be recorded and filed.</w:t>
      </w:r>
    </w:p>
    <w:p>
      <w:pPr>
        <w:pStyle w:val="1LargeBullet"/>
        <w:numPr>
          <w:ilvl w:val="0"/>
          <w:numId w:val="15"/>
        </w:numPr>
        <w:rPr/>
      </w:pPr>
      <w:r>
        <w:rPr/>
        <w:t>The Administrative Agent shall have received evidence that all filing, recordation, subscription and inscription fees and all recording and similar fees, and all recording, stamp and other taxes and other expenses related to such filings, registrations and recordings necessary for the consummation of the transactions contemplated by the Credit Agreement on the Term Conversion Date have been paid in full by or on the behalf of the Company.</w:t>
      </w:r>
    </w:p>
    <w:p>
      <w:pPr>
        <w:pStyle w:val="1LargeBullet"/>
        <w:numPr>
          <w:ilvl w:val="0"/>
          <w:numId w:val="15"/>
        </w:numPr>
        <w:rPr/>
      </w:pPr>
      <w:r>
        <w:rPr/>
        <w:t>The Company shall deliver the initial Operating Budget to the Administrative Agent.</w:t>
      </w:r>
    </w:p>
    <w:p>
      <w:pPr>
        <w:pStyle w:val="1LargeBullet"/>
        <w:numPr>
          <w:ilvl w:val="0"/>
          <w:numId w:val="15"/>
        </w:numPr>
        <w:rPr/>
      </w:pPr>
      <w:r>
        <w:rPr/>
        <w:t>All Project Costs required to be paid to achieve the Completion Date shall have been paid or reserves established therefor.</w:t>
      </w:r>
    </w:p>
    <w:p>
      <w:pPr>
        <w:pStyle w:val="1LargeBullet"/>
        <w:numPr>
          <w:ilvl w:val="0"/>
          <w:numId w:val="15"/>
        </w:numPr>
        <w:rPr/>
      </w:pPr>
      <w:r>
        <w:rPr/>
        <w:t>The Company shall have entered into one or more Permitted Swap Agreements as to an aggregate notional principal amount equal to at least 75% of the Term Loans outstanding at any time for the period commencing on the Term Conversion Date and ending on June 30, 2010.</w:t>
      </w:r>
    </w:p>
    <w:p>
      <w:pPr>
        <w:pStyle w:val="1LargeBullet"/>
        <w:numPr>
          <w:ilvl w:val="0"/>
          <w:numId w:val="15"/>
        </w:numPr>
        <w:rPr/>
      </w:pPr>
      <w:r>
        <w:rPr/>
        <w:t>The Administrative Agent shall have received the Base Case Forecast projecting a minimum annual Debt Service Coverage Ratio of at least 1.35 to 1 for each whole fiscal year of the Company during the period commencing on the Term conversion Date and ending on the Final maturity Date (except for the fiscal year of the Company during which the Final Maturity Date occurs for which the Base Case Forecast shall project a minimum annual Debt Service Coverage Ratio of at least 1.20 to 1).</w:t>
      </w:r>
    </w:p>
    <w:p>
      <w:pPr>
        <w:pStyle w:val="Normal"/>
        <w:rPr/>
      </w:pPr>
      <w:r>
        <w:rPr/>
      </w:r>
      <w:r>
        <w:br w:type="page"/>
      </w:r>
    </w:p>
    <w:tbl>
      <w:tblPr>
        <w:tblW w:w="14398" w:type="dxa"/>
        <w:jc w:val="start"/>
        <w:tblInd w:w="100" w:type="dxa"/>
        <w:tblLayout w:type="fixed"/>
        <w:tblCellMar>
          <w:top w:w="0" w:type="dxa"/>
          <w:start w:w="100" w:type="dxa"/>
          <w:bottom w:w="0" w:type="dxa"/>
          <w:end w:w="100" w:type="dxa"/>
        </w:tblCellMar>
      </w:tblPr>
      <w:tblGrid>
        <w:gridCol w:w="4500"/>
        <w:gridCol w:w="1350"/>
        <w:gridCol w:w="2880"/>
        <w:gridCol w:w="3330"/>
        <w:gridCol w:w="2338"/>
      </w:tblGrid>
      <w:tr>
        <w:trPr>
          <w:tblHeader w:val="true"/>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Normal"/>
              <w:pageBreakBefore/>
              <w:jc w:val="center"/>
              <w:rPr>
                <w:sz w:val="20"/>
              </w:rPr>
            </w:pPr>
            <w:r>
              <w:rPr>
                <w:b/>
                <w:sz w:val="20"/>
              </w:rPr>
              <w:t>DOCUMENT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DOC.</w:t>
            </w:r>
          </w:p>
          <w:p>
            <w:pPr>
              <w:pStyle w:val="Normal"/>
              <w:jc w:val="center"/>
              <w:rPr>
                <w:sz w:val="20"/>
              </w:rPr>
            </w:pPr>
            <w:r>
              <w:rPr>
                <w:b/>
                <w:sz w:val="20"/>
              </w:rPr>
              <w:t>NUMBER</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b/>
                <w:sz w:val="20"/>
              </w:rPr>
            </w:pPr>
            <w:r>
              <w:rPr>
                <w:b/>
                <w:sz w:val="20"/>
              </w:rPr>
              <w:t>DEAL</w:t>
            </w:r>
          </w:p>
          <w:p>
            <w:pPr>
              <w:pStyle w:val="Normal"/>
              <w:jc w:val="center"/>
              <w:rPr>
                <w:sz w:val="20"/>
              </w:rPr>
            </w:pPr>
            <w:r>
              <w:rPr>
                <w:b/>
                <w:sz w:val="20"/>
              </w:rPr>
              <w:t>RESPONSIBILITY</w:t>
            </w:r>
          </w:p>
        </w:tc>
        <w:tc>
          <w:tcPr>
            <w:tcW w:w="333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SIGNATORIES</w:t>
            </w:r>
          </w:p>
        </w:tc>
        <w:tc>
          <w:tcPr>
            <w:tcW w:w="2338"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b/>
                <w:sz w:val="20"/>
              </w:rPr>
              <w:t>STATUS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6"/>
              </w:numPr>
              <w:tabs>
                <w:tab w:val="clear" w:pos="720"/>
              </w:tabs>
              <w:rPr>
                <w:sz w:val="20"/>
              </w:rPr>
            </w:pPr>
            <w:r>
              <w:rPr>
                <w:b/>
                <w:sz w:val="20"/>
              </w:rPr>
              <w:t>BASIC DOCUMENTS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Term Notes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Barclays Term Note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561889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Bank NY Term Note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561911</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Compressor/Dewpoint Facility Mortgage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7/27/00 under review with H&amp;H</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Security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560779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Securities Account Control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560783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 xml:space="preserve">Company, Administrative Agent, and Securities Intermediary </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 Kevin Bennett (BR) to set-up accounts with Bank</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Pledge Agreements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ECT-WR Pledge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554579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6/20/00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BRTI  Pledge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561139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Guarantee Supplements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Enron Guarantee Supplement (ENA’s obligations under ENA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561916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BR Guarantee Supplement (BRTI’s obligations under BRTI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561942</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Enron Guarantee Supplement (Company’s Debt Service Reserve obligations)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562400</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Enron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BR Guarantee Supplement (Company’s Debt Service Reserve obligations)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562390</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Administrative Agent</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Consent to Assignments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ECT-WR Consent to Assignment (Administrative Services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561115</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 Administrative Agent,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EPC Contractor Consent to Assignment (Construction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561117</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 Administrative Agent,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ENA Consent to Assignment (ENA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561097</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BRTI Consent to Assignment (BRTI Gas Gathering Agreement)</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561108</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6"/>
              </w:numPr>
              <w:tabs>
                <w:tab w:val="clear" w:pos="720"/>
              </w:tabs>
              <w:rPr>
                <w:sz w:val="20"/>
              </w:rPr>
            </w:pPr>
            <w:r>
              <w:rPr>
                <w:sz w:val="20"/>
              </w:rPr>
              <w:t>UCC-1 Financing Statements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Company (County Clerk of Sweetwater County, Wyoming)</w:t>
            </w:r>
          </w:p>
        </w:tc>
        <w:tc>
          <w:tcPr>
            <w:tcW w:w="1350" w:type="dxa"/>
            <w:tcBorders>
              <w:top w:val="single" w:sz="6" w:space="0" w:color="000000"/>
              <w:start w:val="single" w:sz="6" w:space="0" w:color="000000"/>
              <w:bottom w:val="single" w:sz="6" w:space="0" w:color="000000"/>
              <w:end w:val="single" w:sz="6" w:space="0" w:color="000000"/>
            </w:tcBorders>
          </w:tcPr>
          <w:p>
            <w:pPr>
              <w:pStyle w:val="Normal"/>
              <w:numPr>
                <w:ilvl w:val="2"/>
                <w:numId w:val="13"/>
              </w:numPr>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Collateral description 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Company (Office of Wyoming Secretary of State)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Collateral description 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Company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Collateral description 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Company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Collateral description 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ECT-WR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Collateral description 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ECT-WR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ECT-WR</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Collateral description 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BRTI (Secretary of State of Texas)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Collateral description 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BRTI (Secretary of State of Delaware)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BRTI</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Collateral description 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6"/>
              </w:numPr>
              <w:tabs>
                <w:tab w:val="clear" w:pos="720"/>
                <w:tab w:val="clear" w:pos="1440"/>
              </w:tabs>
              <w:rPr>
                <w:sz w:val="20"/>
              </w:rPr>
            </w:pPr>
            <w:r>
              <w:rPr>
                <w:sz w:val="20"/>
              </w:rPr>
              <w:t>[Other instruments to be recorded or filed in connection with the Security Agreement and Pledge Agreements]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6"/>
              </w:numPr>
              <w:tabs>
                <w:tab w:val="clear" w:pos="720"/>
              </w:tabs>
              <w:rPr>
                <w:sz w:val="20"/>
              </w:rPr>
            </w:pPr>
            <w:r>
              <w:rPr>
                <w:b/>
                <w:sz w:val="20"/>
                <w:u w:val="single"/>
              </w:rPr>
              <w:t>OFFICER’S CERTIFICATES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7"/>
              </w:numPr>
              <w:tabs>
                <w:tab w:val="clear" w:pos="720"/>
              </w:tabs>
              <w:rPr>
                <w:sz w:val="20"/>
              </w:rPr>
            </w:pPr>
            <w:r>
              <w:rPr>
                <w:sz w:val="20"/>
              </w:rPr>
              <w:t>Company Officer’s Certificate (Reps and Warranties in Section 7 and Completion Certificate, No Default).</w:t>
            </w:r>
            <w:r>
              <w:rPr>
                <w:rStyle w:val="FootnoteCharacters"/>
                <w:rStyle w:val="FootnoteReference"/>
                <w:sz w:val="20"/>
              </w:rPr>
              <w:footnoteReference w:id="2"/>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561239</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7/28/00 distributed to Sponsors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6"/>
              </w:numPr>
              <w:tabs>
                <w:tab w:val="clear" w:pos="720"/>
              </w:tabs>
              <w:rPr>
                <w:sz w:val="20"/>
              </w:rPr>
            </w:pPr>
            <w:r>
              <w:rPr>
                <w:b/>
                <w:sz w:val="20"/>
                <w:u w:val="single"/>
              </w:rPr>
              <w:t>OPINIONS OF COUNSEL</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Opinion of Counsel to Company (Enforceability under NY law of Term Notes and Basic Documents executed on the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Jones Day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Opinion of Counsel to Company (Due Authorization, Execution and Delivery of Term Notes and Basic Documents executed on the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212333</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A&amp;K</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1Outline"/>
              <w:numPr>
                <w:ilvl w:val="0"/>
                <w:numId w:val="14"/>
              </w:numPr>
              <w:tabs>
                <w:tab w:val="clear" w:pos="720"/>
              </w:tabs>
              <w:rPr>
                <w:sz w:val="20"/>
              </w:rPr>
            </w:pPr>
            <w:r>
              <w:rPr>
                <w:b/>
                <w:sz w:val="20"/>
                <w:u w:val="single"/>
              </w:rPr>
              <w:t>OTHER CLOSING ITEMS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Completion Certificate (5 days prior to Conversion)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the EPC Contractor and the Independent Engineer</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Prepayment of Loans: 15% of Project Costs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 / ENA</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Amount to be determined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Lien Waivers or Substitute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Being discussed with EPC Contractor</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4"/>
              </w:numPr>
              <w:tabs>
                <w:tab w:val="clear" w:pos="720"/>
                <w:tab w:val="clear" w:pos="1440"/>
              </w:tabs>
              <w:rPr>
                <w:sz w:val="20"/>
              </w:rPr>
            </w:pPr>
            <w:r>
              <w:rPr>
                <w:sz w:val="20"/>
              </w:rPr>
              <w:t>EPC Contractor Lien Waiver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EPC Contractor</w:t>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4"/>
              </w:numPr>
              <w:tabs>
                <w:tab w:val="clear" w:pos="720"/>
                <w:tab w:val="clear" w:pos="1440"/>
              </w:tabs>
              <w:rPr>
                <w:sz w:val="20"/>
              </w:rPr>
            </w:pPr>
            <w:r>
              <w:rPr>
                <w:sz w:val="20"/>
              </w:rPr>
              <w:t>Major Subcontractors’ Lien Waivers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Title Policy</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Being discussed with EPC Contractor</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As-Built Survey of Treatment Facility Site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Being discussed with EPC Contractor</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Search Reports (UCC, Tax Liens, Judgments, Litigation)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ordered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Evidence of recording and filing of Compressor/Dewpoint Facility Mortgage and fixture filings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 / H&amp;H</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obtained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Evidence of payment of filing, recordation, subscription and inscription fees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Company</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To be obtained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Initial Operating Budget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Expected from Elkhorn by August</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Reserves satisfactory to Independent Engineer established or Project Costs Paid</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Amount to be determined prior to conversion</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Permitted Swap Agreements:  Amount at least equal to 75% of Term Loans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557924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ind w:start="-100" w:end="0"/>
              <w:rPr>
                <w:sz w:val="20"/>
              </w:rPr>
            </w:pPr>
            <w:r>
              <w:rPr>
                <w:sz w:val="20"/>
              </w:rPr>
              <w:t>Company and swap counterparty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Draft of Schedule to ISDA Master Agreement distributed to Sponsors 7/17/00</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Base Case Forecast (Debt Service Coverage Ratio at least 1.35 to 1)</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ind w:start="720" w:end="0"/>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Revised Amortization Schedule (45 days prior to Conversion)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ENA/BR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Termination of Guaranty by ENA in favor of the Company</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ENA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Termination of Guaranty by BR in favor of the Company</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BR and Company</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Promissory Note Cross-Receipt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Company, Administrative Agent and Banks</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2Outline"/>
              <w:numPr>
                <w:ilvl w:val="1"/>
                <w:numId w:val="14"/>
              </w:numPr>
              <w:tabs>
                <w:tab w:val="clear" w:pos="720"/>
              </w:tabs>
              <w:rPr>
                <w:sz w:val="20"/>
              </w:rPr>
            </w:pPr>
            <w:r>
              <w:rPr>
                <w:sz w:val="20"/>
              </w:rPr>
              <w:t>Satisfaction of Construction Period Guarantee Release Conditions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N/A</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N/A</w:t>
            </w:r>
          </w:p>
        </w:tc>
        <w:tc>
          <w:tcPr>
            <w:tcW w:w="3330"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N/A</w:t>
            </w:r>
          </w:p>
        </w:tc>
        <w:tc>
          <w:tcPr>
            <w:tcW w:w="2338" w:type="dxa"/>
            <w:tcBorders>
              <w:top w:val="single" w:sz="6" w:space="0" w:color="000000"/>
              <w:start w:val="single" w:sz="6" w:space="0" w:color="000000"/>
              <w:bottom w:val="single" w:sz="6" w:space="0" w:color="000000"/>
              <w:end w:val="single" w:sz="6" w:space="0" w:color="000000"/>
            </w:tcBorders>
          </w:tcPr>
          <w:p>
            <w:pPr>
              <w:pStyle w:val="Normal"/>
              <w:rPr>
                <w:sz w:val="20"/>
              </w:rPr>
            </w:pPr>
            <w:r>
              <w:rPr>
                <w:sz w:val="20"/>
              </w:rPr>
              <w:t>In process/to be determined</w:t>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4"/>
              </w:numPr>
              <w:tabs>
                <w:tab w:val="clear" w:pos="720"/>
                <w:tab w:val="clear" w:pos="1440"/>
              </w:tabs>
              <w:rPr>
                <w:sz w:val="20"/>
              </w:rPr>
            </w:pPr>
            <w:r>
              <w:rPr>
                <w:sz w:val="20"/>
              </w:rPr>
              <w:t>Occurrence of Term Conversion Date</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4"/>
              </w:numPr>
              <w:tabs>
                <w:tab w:val="clear" w:pos="720"/>
                <w:tab w:val="clear" w:pos="1440"/>
              </w:tabs>
              <w:rPr>
                <w:sz w:val="20"/>
              </w:rPr>
            </w:pPr>
            <w:r>
              <w:rPr>
                <w:sz w:val="20"/>
              </w:rPr>
              <w:t>Company’s Officer’s’ Certificate (all Requisite Approvals granted and reps and warranties in Section 7.07 true and correct)</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A&amp;K</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4"/>
              </w:numPr>
              <w:tabs>
                <w:tab w:val="clear" w:pos="720"/>
                <w:tab w:val="clear" w:pos="1440"/>
              </w:tabs>
              <w:rPr>
                <w:sz w:val="20"/>
              </w:rPr>
            </w:pPr>
            <w:r>
              <w:rPr>
                <w:sz w:val="20"/>
              </w:rPr>
              <w:t>Company’s Officer’s Certificate (Insurance complying with Section 8.05 obtained, in full force and effect and no notice of cancellation)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rHeight w:val="280" w:hRule="atLeast"/>
        </w:trPr>
        <w:tc>
          <w:tcPr>
            <w:tcW w:w="4500" w:type="dxa"/>
            <w:tcBorders>
              <w:top w:val="single" w:sz="6" w:space="0" w:color="000000"/>
              <w:start w:val="single" w:sz="6" w:space="0" w:color="000000"/>
              <w:bottom w:val="single" w:sz="6" w:space="0" w:color="000000"/>
              <w:end w:val="single" w:sz="6" w:space="0" w:color="000000"/>
            </w:tcBorders>
          </w:tcPr>
          <w:p>
            <w:pPr>
              <w:pStyle w:val="3Outline"/>
              <w:numPr>
                <w:ilvl w:val="2"/>
                <w:numId w:val="14"/>
              </w:numPr>
              <w:tabs>
                <w:tab w:val="clear" w:pos="720"/>
                <w:tab w:val="clear" w:pos="1440"/>
              </w:tabs>
              <w:rPr>
                <w:sz w:val="20"/>
              </w:rPr>
            </w:pPr>
            <w:r>
              <w:rPr>
                <w:sz w:val="20"/>
              </w:rPr>
              <w:t>Certificate of Insurance with evidence of payment of all premiums</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0"/>
              </w:rPr>
            </w:pPr>
            <w:r>
              <w:rPr>
                <w:sz w:val="20"/>
              </w:rPr>
            </w:r>
          </w:p>
        </w:tc>
        <w:tc>
          <w:tcPr>
            <w:tcW w:w="288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BR</w:t>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c>
          <w:tcPr>
            <w:tcW w:w="2338"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bl>
    <w:p>
      <w:pPr>
        <w:pStyle w:val="Title"/>
        <w:rPr/>
      </w:pPr>
      <w:r>
        <w:rPr>
          <w:u w:val="single"/>
        </w:rPr>
        <w:t>Annex I</w:t>
        <w:br/>
      </w:r>
      <w:r>
        <w:rPr/>
        <w:t>Representations and Warranties.</w:t>
      </w:r>
    </w:p>
    <w:p>
      <w:pPr>
        <w:pStyle w:val="BodyTextFirstIndent"/>
        <w:rPr/>
      </w:pPr>
      <w:r>
        <w:rPr/>
        <w:t>The Company represents and warrants to the Banks that:</w:t>
      </w:r>
    </w:p>
    <w:p>
      <w:pPr>
        <w:pStyle w:val="BodyTextFirstIndent"/>
        <w:rPr/>
      </w:pPr>
      <w:r>
        <w:rPr>
          <w:rStyle w:val="Underline"/>
        </w:rPr>
        <w:t>Existence</w:t>
      </w:r>
      <w:r>
        <w:rPr/>
        <w:t>.  The Company is a limited liability company duly formed, validly existing and in good standing under the laws of the State of Delaware and is qualified to do business and is in good standing in the State of Wyoming and in all other places where necessary in light of the business it conducts and the Property it owns and in light of the transactions contemplated by the Transaction Documents, except where the failure to do so would not reasonably be expected to have a Material Adverse Effect.  No filing, recording, publishing or other act by the Company that has not been made or done is necessary in connection with the existence or good standing of the Company.</w:t>
      </w:r>
    </w:p>
    <w:p>
      <w:pPr>
        <w:pStyle w:val="BodyTextFirstIndent"/>
        <w:rPr/>
      </w:pPr>
      <w:r>
        <w:rPr>
          <w:rStyle w:val="Underline"/>
        </w:rPr>
        <w:t>Action</w:t>
      </w:r>
      <w:r>
        <w:rPr/>
        <w:t xml:space="preserve">.  The Company has full limited liability company power, authority and legal right to execute and deliver, and to perform its obligations under, the Transaction Documents to which the Company is or is intended to be a party.  The execution, delivery and performance by the Company of each of the Transaction Documents to which it is or is intended to be a party have been duly authorized by all necessary limited liability company action on the part of the Company.  Except for any Transaction Documents that are not required to be entered into pursuant to this Agreement as of the date of the making of this representation, each of the Transaction Documents to which the Company is a party has been duly executed and delivered by the Company and constitutes the legal, valid and binding obligation of the Company, enforceable against the Company in accordance with its terms, except as limited by general principles of equity and bankruptcy, insolvency and similar laws.  </w:t>
      </w:r>
    </w:p>
    <w:p>
      <w:pPr>
        <w:pStyle w:val="BodyTextFirstIndent"/>
        <w:rPr/>
      </w:pPr>
      <w:r>
        <w:rPr>
          <w:rStyle w:val="Underline"/>
        </w:rPr>
        <w:t>No Breach</w:t>
      </w:r>
      <w:r>
        <w:rPr/>
        <w:t>.  The execution, delivery and performance by the Company of each of the Transaction Documents to which it is or is intended to be a party do not and will not:  (a) violate any provision of the Operating Agreement or of any Government Rule or Government Approval applicable to the Company or the Project, (b) violate, result in a breach of or constitute a default under the Operating Agreement, or any Transaction Document or any other material agreement or instrument to which the Company is a party or by which it or its Property is bound or affected, or (c) result in, or create, any Lien (other than a Permitted Lien) upon or with respect to any of the Properties now owned or hereafter acquired by the Company, except, in the case of clauses (a) and (b) above, where any such violation, breach or default would not reasonably be expected to have a Material Adverse Effect.</w:t>
      </w:r>
    </w:p>
    <w:p>
      <w:pPr>
        <w:pStyle w:val="BodyTextFirstIndent"/>
        <w:rPr/>
      </w:pPr>
      <w:r>
        <w:rPr>
          <w:rStyle w:val="Underline"/>
        </w:rPr>
        <w:t>Government Approvals; Government Rules</w:t>
      </w:r>
      <w:r>
        <w:rPr/>
        <w:t xml:space="preserve">.  </w:t>
      </w:r>
    </w:p>
    <w:p>
      <w:pPr>
        <w:pStyle w:val="BodyTextFirstIndent"/>
        <w:rPr/>
      </w:pPr>
      <w:r>
        <w:rPr/>
        <w:t>(a)</w:t>
        <w:tab/>
        <w:t xml:space="preserve">All Government Approvals related to the construction, operation and maintenance of the Project obtained by the Company or for the benefit of the Project or the Company by third parties as of the Closing Date are set forth in </w:t>
      </w:r>
      <w:r>
        <w:rPr>
          <w:rStyle w:val="Underline"/>
        </w:rPr>
        <w:t>Schedule 7.05(a).</w:t>
      </w:r>
      <w:r>
        <w:rPr/>
        <w:t xml:space="preserve"> All Government Approvals set forth on </w:t>
      </w:r>
      <w:r>
        <w:rPr>
          <w:rStyle w:val="Underline"/>
        </w:rPr>
        <w:t>Schedule 7.05(a)</w:t>
      </w:r>
      <w:r>
        <w:rPr/>
        <w:t xml:space="preserve"> (if any) have been duly obtained, were validly issued, are in full force and effect (all appeal periods with respect thereto having expired or terminated), are held in the name of the Company or such third party and are free from conditions or requirements compliance with which would reasonably be expected to have a Material Adverse Effect or that the Company does not expect to be able to satisfy on or prior to the appropriate stage of Development of the Project to which such Government Approval relates.</w:t>
      </w:r>
    </w:p>
    <w:p>
      <w:pPr>
        <w:pStyle w:val="BodyTextFirstIndent"/>
        <w:rPr/>
      </w:pPr>
      <w:r>
        <w:rPr/>
        <w:t>(b)</w:t>
        <w:tab/>
        <w:t xml:space="preserve">All Government Approvals that are necessary for the construction, operation and maintenance of the Project before, on and after the Term Conversion Date under Government Rules and that are to be obtained by the Company or for the benefit of the Project or the Company by third parties are set forth in </w:t>
      </w:r>
      <w:r>
        <w:rPr>
          <w:rStyle w:val="Underline"/>
        </w:rPr>
        <w:t>Schedule 7.05(b)</w:t>
      </w:r>
      <w:r>
        <w:rPr/>
        <w:t>, as supplemented from time to time by notice from the Company to the Administrative Agent.</w:t>
      </w:r>
    </w:p>
    <w:p>
      <w:pPr>
        <w:pStyle w:val="BodyTextFirstIndent"/>
        <w:rPr/>
      </w:pPr>
      <w:r>
        <w:rPr/>
        <w:t>(c)</w:t>
        <w:tab/>
        <w:t>The Company has the right to institute eminent domain proceedings and through the proper prosecution of such proceedings (including, if required pursuant to any applicable Government Rule, obtaining any necessary Government Approvals related thereto) the Company shall have the power to condemn all real property not owned by a Government Authority required for the Development of the Project.  Any such Government Approvals required to consummate such eminent domain proceedings are expected by the Company to be obtainable by the Company on or prior to the date that the failure to have any such Government Approvals would reasonably be expected to have a Material Adverse Effect.</w:t>
      </w:r>
    </w:p>
    <w:p>
      <w:pPr>
        <w:pStyle w:val="BodyTextFirstIndent"/>
        <w:rPr/>
      </w:pPr>
      <w:r>
        <w:rPr>
          <w:rStyle w:val="Underline"/>
        </w:rPr>
        <w:t>Proceedings</w:t>
      </w:r>
      <w:r>
        <w:rPr/>
        <w:t>.  There is no action, suit or proceeding at law or in equity or by or before any Government Authority or arbitral tribunal now pending or, to the best knowledge of the Company, threatened against the Company or the Project or with respect to any Transaction Document or Government Approval related to the Project, that would reasonably be expected to result in a Material Adverse Effect.</w:t>
      </w:r>
    </w:p>
    <w:p>
      <w:pPr>
        <w:pStyle w:val="BodyTextFirstIndent"/>
        <w:rPr/>
      </w:pPr>
      <w:r>
        <w:rPr>
          <w:rStyle w:val="Underline"/>
        </w:rPr>
        <w:t>Environmental Matters</w:t>
      </w:r>
      <w:r>
        <w:rPr/>
        <w:t xml:space="preserve">.  Except as otherwise set forth in </w:t>
      </w:r>
      <w:r>
        <w:rPr>
          <w:rStyle w:val="Underline"/>
        </w:rPr>
        <w:t>Schedule 7.07</w:t>
      </w:r>
      <w:r>
        <w:rPr/>
        <w:t>:</w:t>
      </w:r>
    </w:p>
    <w:p>
      <w:pPr>
        <w:pStyle w:val="BodyTextFirstIndent"/>
        <w:rPr/>
      </w:pPr>
      <w:r>
        <w:rPr/>
        <w:t>(a)</w:t>
        <w:tab/>
        <w:t>To the best of the Company’s knowledge after due inquiry, there are no facts, circumstances, conditions or occurrences regarding the Project that would reasonably be expected (i) to form the basis of an Environmental Claim, with respect to the Project, against the Project or the Company, that individually or in the aggregate would reasonably be expected to have a Material Adverse Effect or (ii) to cause the Project to be subject to any restrictions on ownership, occupancy, use or transferability under any Environmental Law that would hinder or restrict the Company or any other Person from operating the Project as intended under the Project Documents to such extent as would reasonably be expected to have a Material Adverse Effect (excluding restrictions on the transferability of Government Approvals upon the transfer of ownership of assets subject to such Government Approval).</w:t>
      </w:r>
    </w:p>
    <w:p>
      <w:pPr>
        <w:pStyle w:val="BodyTextFirstIndent"/>
        <w:rPr/>
      </w:pPr>
      <w:r>
        <w:rPr/>
        <w:t>(b)</w:t>
        <w:tab/>
        <w:t>There are (i) to the best knowledge of the Company after due inquiry, no past or threatened Environmental Claims, and (ii) no pending Environmental Claims of which the Company has received notice, in each case arising with respect to the Project or against the Project or the Company, that individually or in the aggregate would reasonably be expected to have a Material Adverse Effect.</w:t>
      </w:r>
    </w:p>
    <w:p>
      <w:pPr>
        <w:pStyle w:val="BodyTextFirstIndent"/>
        <w:rPr/>
      </w:pPr>
      <w:r>
        <w:rPr/>
        <w:t>(c)</w:t>
        <w:tab/>
        <w:t>To the best of the Company’s knowledge after due inquiry, Hazardous Materials have not at any time been Released at, on, under or from the Project other than in compliance at all times with all applicable Environmental Laws or as otherwise would not reasonably be expected to have a Material Adverse Effect.</w:t>
      </w:r>
    </w:p>
    <w:p>
      <w:pPr>
        <w:pStyle w:val="BodyTextFirstIndent"/>
        <w:rPr/>
      </w:pPr>
      <w:r>
        <w:rPr/>
        <w:t>(d)</w:t>
        <w:tab/>
        <w:t xml:space="preserve">As of the Closing Date, all environmental investigations, studies, audits, reviews or other analyses conducted by or which are in the possession of the Company in relation to the Project have been provided to the Administrative Agent and the Banks and are listed on Parts 1, 2(i) and 2(ii) of </w:t>
      </w:r>
      <w:r>
        <w:rPr>
          <w:rStyle w:val="Underline"/>
        </w:rPr>
        <w:t>Schedule 7.07</w:t>
      </w:r>
      <w:r>
        <w:rPr/>
        <w:t>.</w:t>
      </w:r>
    </w:p>
    <w:p>
      <w:pPr>
        <w:pStyle w:val="BodyTextFirstIndent"/>
        <w:rPr/>
      </w:pPr>
      <w:r>
        <w:rPr>
          <w:rStyle w:val="Underline"/>
        </w:rPr>
        <w:t>Taxes</w:t>
      </w:r>
      <w:r>
        <w:rPr/>
        <w:t>.  The Company has filed or caused to be filed all tax returns that are required to be filed, and has paid all Taxes shown to be due and payable on such returns or on any assessments made against the Company or any of its Property and all other Taxes imposed on the Company by any Government Authority (other than filings and Taxes the filing or payment of which, as applicable, are not yet due or that are being Contested and other than filings and Taxes the nonfiling or nonpayment of which would not reasonably be expected to have a Material Adverse Effect), and no tax Liens (other than Permitted Liens) have been filed with respect to any such Taxes.</w:t>
      </w:r>
    </w:p>
    <w:p>
      <w:pPr>
        <w:pStyle w:val="BodyTextFirstIndent"/>
        <w:rPr/>
      </w:pPr>
      <w:r>
        <w:rPr>
          <w:rStyle w:val="Underline"/>
        </w:rPr>
        <w:t>Tax Status</w:t>
      </w:r>
      <w:r>
        <w:rPr/>
        <w:t>.  For Federal income tax purposes, the Company is a partnership and not an association taxable as a corporation.  Neither the execution and delivery of this Agreement, the other Transaction Documents or the Non-Material Project Contracts nor the consummation of any of the transactions contemplated hereby or thereby shall affect such status.</w:t>
      </w:r>
    </w:p>
    <w:p>
      <w:pPr>
        <w:pStyle w:val="BodyTextFirstIndent"/>
        <w:rPr/>
      </w:pPr>
      <w:r>
        <w:rPr>
          <w:rStyle w:val="Underline"/>
        </w:rPr>
        <w:t>ERISA</w:t>
      </w:r>
      <w:r>
        <w:rPr/>
        <w:t>.  The Company (i) has no Plans and (ii) does not contribute to any Multiemployer Plan.</w:t>
      </w:r>
    </w:p>
    <w:p>
      <w:pPr>
        <w:pStyle w:val="BodyTextFirstIndent"/>
        <w:rPr/>
      </w:pPr>
      <w:r>
        <w:rPr>
          <w:rStyle w:val="Underline"/>
        </w:rPr>
        <w:t>Nature of Business</w:t>
      </w:r>
      <w:r>
        <w:rPr/>
        <w:t>.  The Company has not engaged in any business other than the Development of the Project.</w:t>
      </w:r>
    </w:p>
    <w:p>
      <w:pPr>
        <w:pStyle w:val="BodyTextFirstIndent"/>
        <w:rPr/>
      </w:pPr>
      <w:r>
        <w:rPr>
          <w:rStyle w:val="Underline"/>
        </w:rPr>
        <w:t>Title; Security Documents</w:t>
      </w:r>
      <w:r>
        <w:rPr/>
        <w:t xml:space="preserve">.  </w:t>
      </w:r>
    </w:p>
    <w:p>
      <w:pPr>
        <w:pStyle w:val="BodyTextFirstIndent"/>
        <w:rPr/>
      </w:pPr>
      <w:r>
        <w:rPr/>
        <w:t xml:space="preserve">(a)  On and after the Term Conversion Date, the Company (i) owns and has good and marketable title to, or a valid leasehold interest in, the Collateral (other than after-acquired property contemplated by the Security Documents) purported to be covered by the Security Documents free and clear of all Liens other than Permitted Liens, and (ii) owns and has good and indefeasible fee simple title to Collateral consisting of real property and fixtures purported to be covered by the Compressor/Dewpoint Facility Mortgage free and clear of all Liens other than Permitted Liens.  On and after the Term Conversion Date, the Company (i) has obtained all necessary licenses, easements and access rights required for the Development of the Project, except those the failure to obtain or maintain which would not reasonably be expected to have a Material Adverse Effect, and (ii) will enjoy peaceful and undisturbed possession of all Properties (subject only to Permitted Liens) that are necessary for the current stage of Development of the Project, except to the extent that the failure to do so would not reasonably be expected to have a Material Adverse Effect.  </w:t>
      </w:r>
    </w:p>
    <w:p>
      <w:pPr>
        <w:pStyle w:val="BodyTextFirstIndent"/>
        <w:rPr/>
      </w:pPr>
      <w:r>
        <w:rPr/>
        <w:t>(b)  On and after the Term Conversion Date, the provisions of the Security Documents and the Compressor/Dewpoint Facility Mortgage are effective to create, in favor of the Administrative Agent for the benefit of the Secured Parties, a legal, valid and enforceable Lien on and security interest in all of the Collateral purported to be covered thereby, and all necessary recordings and filings have been made in all necessary public offices, and all other necessary and appropriate action has been taken, so that such Security Documents, on and after the execution and delivery thereof by the parties thereto, create a perfected Lien on and security interest in all right, title and interest of the Company in the Collateral covered thereby, prior and superior to all other Liens other than Permitted Liens (except for the filing of continuation statements or analogous actions to preserve and continue perfection and priority of such Lien) and all necessary and appropriate consents to the creation, perfection and enforcement of such Liens on the Collateral have been obtained from each of the parties to the Project Documents.</w:t>
      </w:r>
    </w:p>
    <w:p>
      <w:pPr>
        <w:pStyle w:val="BodyTextFirstIndent"/>
        <w:rPr/>
      </w:pPr>
      <w:r>
        <w:rPr>
          <w:rStyle w:val="Underline"/>
        </w:rPr>
        <w:t>Subsidiaries</w:t>
      </w:r>
      <w:r>
        <w:rPr/>
        <w:t>.  The Company has no Subsidiaries.</w:t>
      </w:r>
    </w:p>
    <w:p>
      <w:pPr>
        <w:pStyle w:val="BodyTextFirstIndent"/>
        <w:rPr/>
      </w:pPr>
      <w:r>
        <w:rPr>
          <w:rStyle w:val="Underline"/>
        </w:rPr>
        <w:t>Status</w:t>
      </w:r>
      <w:r>
        <w:rPr/>
        <w:t>.</w:t>
      </w:r>
    </w:p>
    <w:p>
      <w:pPr>
        <w:pStyle w:val="BodyTextFirstIndent"/>
        <w:rPr/>
      </w:pPr>
      <w:r>
        <w:rPr/>
        <w:t>(a)</w:t>
        <w:tab/>
      </w:r>
      <w:r>
        <w:rPr>
          <w:rStyle w:val="Underline"/>
        </w:rPr>
        <w:t>Utility Regulation</w:t>
      </w:r>
      <w:r>
        <w:rPr/>
        <w:t>.  The Company is not subject to regulation as a “holding company”, a “subsidiary company” or an “affiliate” of a “holding company”, as such terms are defined in PUHCA.</w:t>
      </w:r>
    </w:p>
    <w:p>
      <w:pPr>
        <w:pStyle w:val="BodyTextFirstIndent"/>
        <w:rPr/>
      </w:pPr>
      <w:r>
        <w:rPr/>
        <w:t>(b)</w:t>
        <w:tab/>
      </w:r>
      <w:r>
        <w:rPr>
          <w:rStyle w:val="Underline"/>
        </w:rPr>
        <w:t>Investment Company Regulation</w:t>
      </w:r>
      <w:r>
        <w:rPr/>
        <w:t>.  The Company is not an “investment company” or a company “controlled” by an “investment company” within the meaning of the Investment Company Act of 1940 or an “investment advisor” within the meaning of the Investment Company Act of 1940.</w:t>
      </w:r>
    </w:p>
    <w:p>
      <w:pPr>
        <w:pStyle w:val="BodyTextFirstIndent"/>
        <w:rPr/>
      </w:pPr>
      <w:r>
        <w:rPr>
          <w:rStyle w:val="Underline"/>
        </w:rPr>
        <w:t>Members</w:t>
      </w:r>
      <w:r>
        <w:rPr/>
        <w:t>.  The only members in the Company on the Closing Date are the Members.</w:t>
      </w:r>
    </w:p>
    <w:p>
      <w:pPr>
        <w:pStyle w:val="BodyTextFirstIndent"/>
        <w:rPr/>
      </w:pPr>
      <w:r>
        <w:rPr>
          <w:rStyle w:val="Underline"/>
        </w:rPr>
        <w:t>Transaction Documents; Non-Material Project Contracts; Licenses</w:t>
      </w:r>
      <w:r>
        <w:rPr/>
        <w:t>.</w:t>
      </w:r>
    </w:p>
    <w:p>
      <w:pPr>
        <w:pStyle w:val="BodyTextFirstIndent"/>
        <w:rPr/>
      </w:pPr>
      <w:r>
        <w:rPr/>
        <w:t>(a)</w:t>
        <w:tab/>
        <w:t xml:space="preserve">The Transaction Documents in effect on the Closing Date, the Non-Material Project Contracts and the Additional Project Documents entered into in accordance with this Agreement, constitute and include all contracts and agreements relating to the Development of the Project and the Company is not and will not be a party to any contract or agreement that is not a Transaction Document or a Non-Material Project Contract.  There are no services, materials or rights (other than Government Approvals) required for the current stage of the Development of the Project other than those granted by, or to be provided to the Company pursuant to, the Transaction Documents and the Non-Material Project Contracts. Except as permitted pursuant to </w:t>
      </w:r>
      <w:r>
        <w:rPr>
          <w:rStyle w:val="Underline"/>
        </w:rPr>
        <w:t>Section 8.20</w:t>
      </w:r>
      <w:r>
        <w:rPr/>
        <w:t>, none of the Project Documents has been amended, modified or supplemented or has been materially Impaired, and all of the Project Documents (other than those that are not required to be entered into pursuant to this Agreement as of the date of the making of this representation or that have been canceled or terminated as permitted under this Agreement) are in full force and effect.  All conditions precedent to the obligations of the Company under the Project Documents have been satisfied or waived except for such conditions precedent that need not or cannot be satisfied until a later stage of Development of the Project.</w:t>
      </w:r>
    </w:p>
    <w:p>
      <w:pPr>
        <w:pStyle w:val="BodyTextFirstIndent"/>
        <w:rPr/>
      </w:pPr>
      <w:r>
        <w:rPr/>
        <w:t>(b)</w:t>
        <w:tab/>
        <w:t>All permits, licenses, trademarks, patents or agreements with respect to the usage of technology that are necessary for the current stage of the Development of the Project have been obtained, are final and are in full force and effect, except to the extent that the failure to have complied with the foregoing would not reasonably be expected to have a Material Adverse Effect.  The Company reasonably believes that all such permits, licenses, trademarks, patents or agreements necessary for all future stages of the Development of the Project will be timely obtained in the ordinary course (except as aforesaid) and will not be subject to terms or conditions that would reasonably be expected to result in a Material Adverse Effect.</w:t>
      </w:r>
    </w:p>
    <w:p>
      <w:pPr>
        <w:pStyle w:val="BodyTextFirstIndent"/>
        <w:rPr/>
      </w:pPr>
      <w:r>
        <w:rPr>
          <w:rStyle w:val="Underline"/>
        </w:rPr>
        <w:t>Utility Services</w:t>
      </w:r>
      <w:r>
        <w:rPr/>
        <w:t>.  All utility services necessary for the Development of the Project, including, as necessary, fuel supply, water supply, storm and sanitary sewer, gas, electric and telephone services and facilities, are, or will be when needed, available to the Project on commercially reasonable terms, except to the extent that the failure to have the foregoing would not reasonably be expected to have a Material Adverse Effect.</w:t>
      </w:r>
    </w:p>
    <w:p>
      <w:pPr>
        <w:pStyle w:val="BodyTextFirstIndent"/>
        <w:rPr/>
      </w:pPr>
      <w:r>
        <w:rPr>
          <w:rStyle w:val="Underline"/>
        </w:rPr>
        <w:t>Use of Proceeds</w:t>
      </w:r>
      <w:r>
        <w:rPr/>
        <w:t xml:space="preserve">.  The proceeds of each Loan will be used solely in accordance with, and solely for the purposes contemplated by, </w:t>
      </w:r>
      <w:r>
        <w:rPr>
          <w:rStyle w:val="Underline"/>
        </w:rPr>
        <w:t>Section 8.09</w:t>
      </w:r>
      <w:r>
        <w:rPr/>
        <w:t>.  No part of the proceeds of any Loan will be used for the purpose, whether immediate, incidental or ultimate, of buying or carrying any Margin Stock or to extend credit to others for such purpose.</w:t>
      </w:r>
    </w:p>
    <w:p>
      <w:pPr>
        <w:pStyle w:val="BodyTextFirstIndent"/>
        <w:rPr/>
      </w:pPr>
      <w:r>
        <w:rPr>
          <w:rStyle w:val="Underline"/>
        </w:rPr>
        <w:t>Year 2000 Compliance</w:t>
      </w:r>
      <w:r>
        <w:rPr/>
        <w:t>.  The Company has (i) reviewed (or shall review in a timely manner) the areas within the Company’s business and operations that could be adversely affected by failure to become Year 2000 Compliant.  “</w:t>
      </w:r>
      <w:r>
        <w:rPr>
          <w:rStyle w:val="Underline"/>
        </w:rPr>
        <w:t>Year 2000 Compliant</w:t>
      </w:r>
      <w:r>
        <w:rPr/>
        <w:t>” means that computer applications, imbedded microchips and other systems used by the Company, its material vendors, the Managing Member, the Field Operator or the Administrative Manager will be able properly to recognize and perform date sensitive functions involving certain dates prior to and any date after December 31, 1999; (ii) developed (or shall develop in a timely manner), or caused the Managing Member, the Field Operator or the Administrative Manager to develop (or shall cause such Persons to develop in a timely manner), a detailed plan and timetable to become Year 2000 Compliant in a timely manner (the “</w:t>
      </w:r>
      <w:r>
        <w:rPr>
          <w:rStyle w:val="Underline"/>
        </w:rPr>
        <w:t>Year 2000 Plan</w:t>
      </w:r>
      <w:r>
        <w:rPr/>
        <w:t>”); and (iii) committed adequate resources to support the Year 2000 Plan.  Based on such review and plan the Company reasonably believes that the Company will become Year 2000 Compliant on a timely basis except to the extent that a failure to do so would not reasonably be expected to have a Material Adverse Effect.</w:t>
      </w:r>
    </w:p>
    <w:p>
      <w:pPr>
        <w:pStyle w:val="BodyTextFirstIndent"/>
        <w:rPr/>
      </w:pPr>
      <w:r>
        <w:rPr>
          <w:rStyle w:val="Underline"/>
        </w:rPr>
        <w:t>Solvency</w:t>
      </w:r>
      <w:r>
        <w:rPr/>
        <w:t>.  After giving effect to the making of the Loans on the Closing Date, the fair salable aggregate value of the Company’s assets on the Closing Date will exceed the Company’s aggregate liabilities on the Closing Date.</w:t>
      </w:r>
    </w:p>
    <w:p>
      <w:pPr>
        <w:pStyle w:val="Title"/>
        <w:rPr/>
      </w:pPr>
      <w:r>
        <w:rPr/>
        <w:t>Annex II</w:t>
        <w:br/>
        <w:t>Completion Certificate Requirements</w:t>
      </w:r>
    </w:p>
    <w:p>
      <w:pPr>
        <w:pStyle w:val="ListNumber"/>
        <w:numPr>
          <w:ilvl w:val="0"/>
          <w:numId w:val="10"/>
        </w:numPr>
        <w:tabs>
          <w:tab w:val="clear" w:pos="720"/>
        </w:tabs>
        <w:ind w:firstLine="1440" w:start="0" w:end="0"/>
        <w:rPr/>
      </w:pPr>
      <w:r>
        <w:rPr/>
        <w:t>Design, procurement, and construction activities effected in connection with the construction of the Project meet the requirements as listed in the scope of work of the Construction Agreement and any change orders thereto.  The Project has transported at least 100MMscfd of gas to the compressor station in any one day.</w:t>
      </w:r>
    </w:p>
    <w:p>
      <w:pPr>
        <w:pStyle w:val="ListNumber"/>
        <w:numPr>
          <w:ilvl w:val="0"/>
          <w:numId w:val="10"/>
        </w:numPr>
        <w:tabs>
          <w:tab w:val="clear" w:pos="720"/>
        </w:tabs>
        <w:ind w:firstLine="1440" w:start="0" w:end="0"/>
        <w:rPr/>
      </w:pPr>
      <w:r>
        <w:rPr/>
        <w:t>The representations and warranties made by the Company in Section 7 of the Credit Agreement (other than those set forth in Sections 7.02) and in each of the Project Documents to which it is a party are true and correct on and as of the date of the Completion Certificate in all material respects with the same force and effect as if made on the date of the Completion Certificate (or, if stated to have been made solely as of an earlier date, were true and correct in all material respects as of such date).</w:t>
      </w:r>
    </w:p>
    <w:p>
      <w:pPr>
        <w:pStyle w:val="ListNumber"/>
        <w:numPr>
          <w:ilvl w:val="0"/>
          <w:numId w:val="10"/>
        </w:numPr>
        <w:tabs>
          <w:tab w:val="clear" w:pos="720"/>
        </w:tabs>
        <w:ind w:firstLine="1440" w:start="0" w:end="0"/>
        <w:rPr/>
      </w:pPr>
      <w:r>
        <w:rPr/>
        <w:t>No Event of Default has occurred and is continuing as of the date of the Completion Certificate.</w:t>
      </w:r>
    </w:p>
    <w:p>
      <w:pPr>
        <w:pStyle w:val="ListNumber"/>
        <w:numPr>
          <w:ilvl w:val="0"/>
          <w:numId w:val="10"/>
        </w:numPr>
        <w:tabs>
          <w:tab w:val="clear" w:pos="720"/>
        </w:tabs>
        <w:ind w:firstLine="1440" w:start="0" w:end="0"/>
        <w:rPr/>
      </w:pPr>
      <w:r>
        <w:rPr/>
        <w:t>Attached to the Completion Certificate as Annex I are copies of (i) all lien waivers executed by the EPC Contractor (and evidence that the EPC Contractor has received lien waivers from major subcontractors) that cover all labor, materials (including equipment and fixtures of all kinds), supplies or services done, performed or furnished at, for or to the Project to the date of the Completion Certificate, and/or (ii) all bonds delivered by the EPC Contractor in lieu of such waivers as contemplated by Section 6.03(f) of the Credit Agreement.</w:t>
      </w:r>
    </w:p>
    <w:p>
      <w:pPr>
        <w:pStyle w:val="ListNumber"/>
        <w:numPr>
          <w:ilvl w:val="0"/>
          <w:numId w:val="10"/>
        </w:numPr>
        <w:tabs>
          <w:tab w:val="clear" w:pos="720"/>
        </w:tabs>
        <w:ind w:firstLine="1440" w:start="0" w:end="0"/>
        <w:rPr/>
      </w:pPr>
      <w:r>
        <w:rPr/>
        <w:t xml:space="preserve">Attached to the Completion Certificate as Annex II is a true and complete copy of the initial Operating Budget in accordance with </w:t>
      </w:r>
      <w:r>
        <w:rPr>
          <w:rStyle w:val="Underline"/>
        </w:rPr>
        <w:t>Section 8.21(a)</w:t>
      </w:r>
      <w:r>
        <w:rPr/>
        <w:t xml:space="preserve"> of the Credit Agreement.</w:t>
      </w:r>
    </w:p>
    <w:p>
      <w:pPr>
        <w:pStyle w:val="ListNumber"/>
        <w:numPr>
          <w:ilvl w:val="0"/>
          <w:numId w:val="10"/>
        </w:numPr>
        <w:tabs>
          <w:tab w:val="clear" w:pos="720"/>
        </w:tabs>
        <w:ind w:firstLine="1440" w:start="0" w:end="0"/>
        <w:rPr/>
      </w:pPr>
      <w:r>
        <w:rPr/>
        <w:t>All Project Costs required to achieve the Completion Date have been paid or adequate funds have been reserved in the Accounts for the purpose of paying such costs.  The amount of such reserved funds is $_________.</w:t>
      </w:r>
    </w:p>
    <w:p>
      <w:pPr>
        <w:pStyle w:val="ListNumber"/>
        <w:numPr>
          <w:ilvl w:val="0"/>
          <w:numId w:val="10"/>
        </w:numPr>
        <w:tabs>
          <w:tab w:val="clear" w:pos="720"/>
        </w:tabs>
        <w:ind w:firstLine="1440" w:start="0" w:end="0"/>
        <w:rPr/>
      </w:pPr>
      <w:r>
        <w:rPr/>
        <w:t xml:space="preserve">Attached to the Completion Certificate as Annex III is a true and complete copy of the Acknowledgment of the Independent Engineer delivered in connection with the Completion Certificate.  </w:t>
      </w:r>
    </w:p>
    <w:p>
      <w:pPr>
        <w:pStyle w:val="BodyText"/>
        <w:spacing w:before="0" w:after="240"/>
        <w:rPr/>
      </w:pPr>
      <w:r>
        <w:rPr/>
      </w:r>
    </w:p>
    <w:sectPr>
      <w:headerReference w:type="default" r:id="rId2"/>
      <w:headerReference w:type="first" r:id="rId3"/>
      <w:footerReference w:type="default" r:id="rId4"/>
      <w:footerReference w:type="first" r:id="rId5"/>
      <w:footnotePr>
        <w:numFmt w:val="decimal"/>
      </w:footnotePr>
      <w:type w:val="nextPage"/>
      <w:pgSz w:orient="landscape" w:w="15840" w:h="122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554017-3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7200" w:leader="none"/>
        <w:tab w:val="right" w:pos="8640" w:leader="none"/>
      </w:tabs>
      <w:rPr/>
    </w:pPr>
    <w:r>
      <w:rPr/>
      <w:t>554017-3</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jc w:val="both"/>
        <w:rPr/>
      </w:pPr>
      <w:r>
        <w:rPr>
          <w:rStyle w:val="FootnoteCharacters"/>
        </w:rPr>
        <w:footnoteRef/>
      </w:r>
      <w:r>
        <w:rPr/>
        <w:t xml:space="preserve"> </w:t>
      </w:r>
      <w:r>
        <w:rPr>
          <w:sz w:val="20"/>
        </w:rPr>
        <w:t>See Annex I for a list of the Reps and Warranties.  See Annex II for the Completion Certificate requirements.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of 7/27/00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800"/>
        </w:tabs>
        <w:ind w:start="720" w:firstLine="720"/>
      </w:pPr>
    </w:lvl>
    <w:lvl w:ilvl="1">
      <w:start w:val="1"/>
      <w:pStyle w:val="Heading2"/>
      <w:numFmt w:val="lowerLetter"/>
      <w:lvlText w:val="(%2)"/>
      <w:lvlJc w:val="start"/>
      <w:pPr>
        <w:tabs>
          <w:tab w:val="num" w:pos="2520"/>
        </w:tabs>
        <w:ind w:start="1440" w:firstLine="720"/>
      </w:pPr>
    </w:lvl>
    <w:lvl w:ilvl="2">
      <w:start w:val="1"/>
      <w:pStyle w:val="Heading3"/>
      <w:numFmt w:val="lowerRoman"/>
      <w:lvlText w:val="(%3)"/>
      <w:lvlJc w:val="start"/>
      <w:pPr>
        <w:tabs>
          <w:tab w:val="num" w:pos="3600"/>
        </w:tabs>
        <w:ind w:start="2160" w:firstLine="720"/>
      </w:pPr>
    </w:lvl>
    <w:lvl w:ilvl="3">
      <w:start w:val="1"/>
      <w:pStyle w:val="Heading4"/>
      <w:numFmt w:val="upperLetter"/>
      <w:lvlText w:val="%4."/>
      <w:lvlJc w:val="start"/>
      <w:pPr>
        <w:tabs>
          <w:tab w:val="num" w:pos="3960"/>
        </w:tabs>
        <w:ind w:start="2880" w:firstLine="720"/>
      </w:pPr>
      <w:r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Times New Roman" w:hAnsi="Times New Roman" w:cs="Times New Roman"/>
      </w:rPr>
    </w:lvl>
    <w:lvl w:ilvl="1">
      <w:start w:val="1"/>
      <w:numFmt w:val="lowerLetter"/>
      <w:lvlText w:val="(%2)"/>
      <w:lvlJc w:val="start"/>
      <w:pPr>
        <w:tabs>
          <w:tab w:val="num" w:pos="1440"/>
        </w:tabs>
        <w:ind w:start="1440" w:hanging="720"/>
      </w:pPr>
      <w:rPr>
        <w:sz w:val="24"/>
        <w:i w:val="false"/>
        <w:u w:val="none"/>
        <w:b w:val="false"/>
        <w:rFonts w:ascii="Times New Roman" w:hAnsi="Times New Roman" w:cs="Times New Roman"/>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Symbol" w:hAnsi="Symbol" w:cs="Symbol" w:hint="default"/>
        <w:sz w:val="28"/>
        <w:color w:val="000000"/>
      </w:rPr>
    </w:lvl>
  </w:abstractNum>
  <w:abstractNum w:abstractNumId="13">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4">
    <w:lvl w:ilvl="0">
      <w:start w:val="3"/>
      <w:numFmt w:val="upperRoman"/>
      <w:lvlText w:val="%1."/>
      <w:lvlJc w:val="start"/>
      <w:pPr>
        <w:tabs>
          <w:tab w:val="num" w:pos="720"/>
        </w:tabs>
        <w:ind w:start="720" w:hanging="720"/>
      </w:pPr>
    </w:lvl>
    <w:lvl w:ilvl="1">
      <w:start w:val="1"/>
      <w:numFmt w:val="upperLetter"/>
      <w:lvlText w:val="%2."/>
      <w:lvlJc w:val="start"/>
      <w:pPr>
        <w:tabs>
          <w:tab w:val="num" w:pos="0"/>
        </w:tabs>
        <w:ind w:start="1440" w:hanging="720"/>
      </w:pPr>
    </w:lvl>
    <w:lvl w:ilvl="2">
      <w:start w:val="1"/>
      <w:numFmt w:val="decimal"/>
      <w:lvlText w:val="%3."/>
      <w:lvlJc w:val="start"/>
      <w:pPr>
        <w:tabs>
          <w:tab w:val="num" w:pos="0"/>
        </w:tabs>
        <w:ind w:start="216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5">
    <w:lvl w:ilvl="0">
      <w:start w:val="1"/>
      <w:numFmt w:val="bullet"/>
      <w:lvlText w:val=""/>
      <w:lvlJc w:val="start"/>
      <w:pPr>
        <w:tabs>
          <w:tab w:val="num" w:pos="360"/>
        </w:tabs>
        <w:ind w:start="270" w:firstLine="270"/>
      </w:pPr>
      <w:rPr>
        <w:rFonts w:ascii="Symbol" w:hAnsi="Symbol" w:cs="Symbol" w:hint="default"/>
        <w:color w:val="auto"/>
      </w:rPr>
    </w:lvl>
    <w:lvl w:ilvl="1">
      <w:start w:val="1"/>
      <w:numFmt w:val="none"/>
      <w:suff w:val="nothing"/>
      <w:lvlText w:val=""/>
      <w:lvlJc w:val="start"/>
      <w:pPr>
        <w:tabs>
          <w:tab w:val="num" w:pos="0"/>
        </w:tabs>
        <w:ind w:start="540" w:firstLine="270"/>
      </w:pPr>
      <w:rPr>
        <w:rFonts w:ascii="WP TypographicSymbols" w:hAnsi="WP TypographicSymbols" w:cs="WP TypographicSymbols"/>
      </w:rPr>
    </w:lvl>
    <w:lvl w:ilvl="2">
      <w:start w:val="1"/>
      <w:numFmt w:val="none"/>
      <w:suff w:val="nothing"/>
      <w:lvlText w:val=""/>
      <w:lvlJc w:val="start"/>
      <w:pPr>
        <w:tabs>
          <w:tab w:val="num" w:pos="0"/>
        </w:tabs>
        <w:ind w:start="810" w:firstLine="270"/>
      </w:pPr>
      <w:rPr>
        <w:rFonts w:ascii="WP TypographicSymbols" w:hAnsi="WP TypographicSymbols" w:cs="WP TypographicSymbols"/>
      </w:rPr>
    </w:lvl>
    <w:lvl w:ilvl="3">
      <w:start w:val="1"/>
      <w:numFmt w:val="none"/>
      <w:suff w:val="nothing"/>
      <w:lvlText w:val=""/>
      <w:lvlJc w:val="start"/>
      <w:pPr>
        <w:tabs>
          <w:tab w:val="num" w:pos="0"/>
        </w:tabs>
        <w:ind w:start="1080" w:firstLine="270"/>
      </w:pPr>
      <w:rPr>
        <w:rFonts w:ascii="WP TypographicSymbols" w:hAnsi="WP TypographicSymbols" w:cs="WP TypographicSymbols"/>
      </w:rPr>
    </w:lvl>
    <w:lvl w:ilvl="4">
      <w:start w:val="1"/>
      <w:numFmt w:val="none"/>
      <w:suff w:val="nothing"/>
      <w:lvlText w:val=""/>
      <w:lvlJc w:val="start"/>
      <w:pPr>
        <w:tabs>
          <w:tab w:val="num" w:pos="0"/>
        </w:tabs>
        <w:ind w:start="1350" w:firstLine="270"/>
      </w:pPr>
      <w:rPr>
        <w:rFonts w:ascii="WP TypographicSymbols" w:hAnsi="WP TypographicSymbols" w:cs="WP TypographicSymbols"/>
      </w:rPr>
    </w:lvl>
    <w:lvl w:ilvl="5">
      <w:start w:val="1"/>
      <w:numFmt w:val="none"/>
      <w:suff w:val="nothing"/>
      <w:lvlText w:val=""/>
      <w:lvlJc w:val="start"/>
      <w:pPr>
        <w:tabs>
          <w:tab w:val="num" w:pos="0"/>
        </w:tabs>
        <w:ind w:start="1620" w:firstLine="270"/>
      </w:pPr>
      <w:rPr>
        <w:rFonts w:ascii="WP TypographicSymbols" w:hAnsi="WP TypographicSymbols" w:cs="WP TypographicSymbols"/>
      </w:rPr>
    </w:lvl>
    <w:lvl w:ilvl="6">
      <w:start w:val="1"/>
      <w:numFmt w:val="none"/>
      <w:suff w:val="nothing"/>
      <w:lvlText w:val=""/>
      <w:lvlJc w:val="start"/>
      <w:pPr>
        <w:tabs>
          <w:tab w:val="num" w:pos="0"/>
        </w:tabs>
        <w:ind w:start="1890" w:firstLine="270"/>
      </w:pPr>
      <w:rPr>
        <w:rFonts w:ascii="WP TypographicSymbols" w:hAnsi="WP TypographicSymbols" w:cs="WP TypographicSymbols"/>
      </w:rPr>
    </w:lvl>
    <w:lvl w:ilvl="7">
      <w:start w:val="1"/>
      <w:numFmt w:val="none"/>
      <w:suff w:val="nothing"/>
      <w:lvlText w:val=""/>
      <w:lvlJc w:val="start"/>
      <w:pPr>
        <w:tabs>
          <w:tab w:val="num" w:pos="0"/>
        </w:tabs>
        <w:ind w:start="2160" w:firstLine="270"/>
      </w:pPr>
      <w:rPr>
        <w:rFonts w:ascii="WP TypographicSymbols" w:hAnsi="WP TypographicSymbols" w:cs="WP TypographicSymbols"/>
      </w:rPr>
    </w:lvl>
    <w:lvl w:ilvl="8">
      <w:start w:val="1"/>
      <w:numFmt w:val="lowerRoman"/>
      <w:lvlText w:val="%9"/>
      <w:lvlJc w:val="start"/>
      <w:pPr>
        <w:tabs>
          <w:tab w:val="num" w:pos="0"/>
        </w:tabs>
        <w:ind w:start="2430" w:firstLine="270"/>
      </w:pPr>
    </w:lvl>
  </w:abstractNum>
  <w:abstractNum w:abstractNumId="16">
    <w:lvl w:ilvl="0">
      <w:start w:val="1"/>
      <w:numFmt w:val="upperRoman"/>
      <w:lvlText w:val="%1."/>
      <w:lvlJc w:val="start"/>
      <w:pPr>
        <w:tabs>
          <w:tab w:val="num" w:pos="720"/>
        </w:tabs>
        <w:ind w:start="0" w:hanging="0"/>
      </w:pPr>
      <w:rPr>
        <w:sz w:val="24"/>
        <w:i w:val="false"/>
        <w:u w:val="none"/>
        <w:b w:val="false"/>
        <w:rFonts w:ascii="Times New Roman" w:hAnsi="Times New Roman" w:cs="Times New Roman"/>
      </w:rPr>
    </w:lvl>
    <w:lvl w:ilvl="1">
      <w:start w:val="1"/>
      <w:numFmt w:val="upperLetter"/>
      <w:lvlText w:val="%2."/>
      <w:lvlJc w:val="start"/>
      <w:pPr>
        <w:tabs>
          <w:tab w:val="num" w:pos="720"/>
        </w:tabs>
        <w:ind w:start="0" w:firstLine="360"/>
      </w:pPr>
    </w:lvl>
    <w:lvl w:ilvl="2">
      <w:start w:val="1"/>
      <w:numFmt w:val="decimal"/>
      <w:lvlText w:val="%3."/>
      <w:lvlJc w:val="start"/>
      <w:pPr>
        <w:tabs>
          <w:tab w:val="num" w:pos="1440"/>
        </w:tabs>
        <w:ind w:start="144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abstractNum w:abstractNumId="17">
    <w:lvl w:ilvl="0">
      <w:start w:val="3"/>
      <w:numFmt w:val="upperRoman"/>
      <w:lvlText w:val="%1."/>
      <w:lvlJc w:val="start"/>
      <w:pPr>
        <w:tabs>
          <w:tab w:val="num" w:pos="720"/>
        </w:tabs>
        <w:ind w:start="720" w:hanging="720"/>
      </w:pPr>
    </w:lvl>
    <w:lvl w:ilvl="1">
      <w:start w:val="1"/>
      <w:numFmt w:val="upperLetter"/>
      <w:lvlText w:val="%2."/>
      <w:lvlJc w:val="start"/>
      <w:pPr>
        <w:tabs>
          <w:tab w:val="num" w:pos="0"/>
        </w:tabs>
        <w:ind w:start="1440" w:hanging="720"/>
      </w:pPr>
    </w:lvl>
    <w:lvl w:ilvl="2">
      <w:start w:val="1"/>
      <w:numFmt w:val="decimal"/>
      <w:lvlText w:val="%3."/>
      <w:lvlJc w:val="start"/>
      <w:pPr>
        <w:tabs>
          <w:tab w:val="num" w:pos="0"/>
        </w:tabs>
        <w:ind w:start="2160" w:hanging="720"/>
      </w:pPr>
    </w:lvl>
    <w:lvl w:ilvl="3">
      <w:start w:val="1"/>
      <w:numFmt w:val="lowerLetter"/>
      <w:lvlText w:val="%4)"/>
      <w:lvlJc w:val="start"/>
      <w:pPr>
        <w:tabs>
          <w:tab w:val="num" w:pos="0"/>
        </w:tabs>
        <w:ind w:start="2880" w:hanging="720"/>
      </w:pPr>
    </w:lvl>
    <w:lvl w:ilvl="4">
      <w:start w:val="1"/>
      <w:numFmt w:val="decimal"/>
      <w:lvlText w:val="(%5)"/>
      <w:lvlJc w:val="start"/>
      <w:pPr>
        <w:tabs>
          <w:tab w:val="num" w:pos="0"/>
        </w:tabs>
        <w:ind w:start="3600" w:hanging="720"/>
      </w:pPr>
    </w:lvl>
    <w:lvl w:ilvl="5">
      <w:start w:val="1"/>
      <w:numFmt w:val="lowerLetter"/>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lowerLetter"/>
      <w:lvlText w:val="(%8)"/>
      <w:lvlJc w:val="start"/>
      <w:pPr>
        <w:tabs>
          <w:tab w:val="num" w:pos="0"/>
        </w:tabs>
        <w:ind w:start="5760" w:hanging="720"/>
      </w:pPr>
    </w:lvl>
    <w:lvl w:ilvl="8">
      <w:start w:val="1"/>
      <w:numFmt w:val="lowerRoman"/>
      <w:lvlText w:val="(%9)"/>
      <w:lvlJc w:val="start"/>
      <w:pPr>
        <w:tabs>
          <w:tab w:val="num" w:pos="0"/>
        </w:tabs>
        <w:ind w:start="648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Normal"/>
    <w:qFormat/>
    <w:pPr>
      <w:numPr>
        <w:ilvl w:val="0"/>
        <w:numId w:val="1"/>
      </w:numPr>
      <w:tabs>
        <w:tab w:val="clear" w:pos="720"/>
      </w:tabs>
      <w:outlineLvl w:val="0"/>
    </w:pPr>
    <w:rPr/>
  </w:style>
  <w:style w:type="paragraph" w:styleId="Heading2">
    <w:name w:val="heading 2"/>
    <w:basedOn w:val="Heading"/>
    <w:next w:val="Normal"/>
    <w:qFormat/>
    <w:pPr>
      <w:numPr>
        <w:ilvl w:val="1"/>
        <w:numId w:val="1"/>
      </w:numPr>
      <w:tabs>
        <w:tab w:val="clear" w:pos="720"/>
      </w:tabs>
      <w:outlineLvl w:val="1"/>
    </w:pPr>
    <w:rPr/>
  </w:style>
  <w:style w:type="paragraph" w:styleId="Heading3">
    <w:name w:val="heading 3"/>
    <w:basedOn w:val="Heading"/>
    <w:next w:val="Normal"/>
    <w:qFormat/>
    <w:pPr>
      <w:numPr>
        <w:ilvl w:val="2"/>
        <w:numId w:val="1"/>
      </w:numPr>
      <w:tabs>
        <w:tab w:val="clear" w:pos="720"/>
      </w:tabs>
      <w:outlineLvl w:val="2"/>
    </w:pPr>
    <w:rPr/>
  </w:style>
  <w:style w:type="paragraph" w:styleId="Heading4">
    <w:name w:val="heading 4"/>
    <w:basedOn w:val="Heading"/>
    <w:next w:val="Normal"/>
    <w:qFormat/>
    <w:pPr>
      <w:numPr>
        <w:ilvl w:val="3"/>
        <w:numId w:val="1"/>
      </w:numPr>
      <w:tabs>
        <w:tab w:val="clear" w:pos="720"/>
      </w:tabs>
      <w:outlineLvl w:val="3"/>
    </w:pPr>
    <w:rPr/>
  </w:style>
  <w:style w:type="paragraph" w:styleId="Heading5">
    <w:name w:val="heading 5"/>
    <w:basedOn w:val="Heading"/>
    <w:next w:val="Normal"/>
    <w:qFormat/>
    <w:pPr>
      <w:numPr>
        <w:ilvl w:val="4"/>
        <w:numId w:val="1"/>
      </w:numPr>
      <w:tabs>
        <w:tab w:val="clear" w:pos="720"/>
      </w:tabs>
      <w:outlineLvl w:val="4"/>
    </w:pPr>
    <w:rPr/>
  </w:style>
  <w:style w:type="paragraph" w:styleId="Heading6">
    <w:name w:val="heading 6"/>
    <w:basedOn w:val="Heading"/>
    <w:next w:val="Normal"/>
    <w:qFormat/>
    <w:pPr>
      <w:numPr>
        <w:ilvl w:val="5"/>
        <w:numId w:val="1"/>
      </w:numPr>
      <w:tabs>
        <w:tab w:val="clear" w:pos="720"/>
      </w:tabs>
      <w:outlineLvl w:val="5"/>
    </w:pPr>
    <w:rPr/>
  </w:style>
  <w:style w:type="paragraph" w:styleId="Heading7">
    <w:name w:val="heading 7"/>
    <w:basedOn w:val="Heading"/>
    <w:next w:val="Normal"/>
    <w:qFormat/>
    <w:pPr>
      <w:numPr>
        <w:ilvl w:val="6"/>
        <w:numId w:val="1"/>
      </w:numPr>
      <w:tabs>
        <w:tab w:val="clear" w:pos="720"/>
      </w:tabs>
      <w:outlineLvl w:val="6"/>
    </w:pPr>
    <w:rPr/>
  </w:style>
  <w:style w:type="paragraph" w:styleId="Heading8">
    <w:name w:val="heading 8"/>
    <w:basedOn w:val="Heading"/>
    <w:next w:val="Normal"/>
    <w:qFormat/>
    <w:pPr>
      <w:numPr>
        <w:ilvl w:val="7"/>
        <w:numId w:val="1"/>
      </w:numPr>
      <w:tabs>
        <w:tab w:val="clear" w:pos="720"/>
      </w:tabs>
      <w:outlineLvl w:val="7"/>
    </w:pPr>
    <w:rPr/>
  </w:style>
  <w:style w:type="paragraph" w:styleId="Heading9">
    <w:name w:val="heading 9"/>
    <w:basedOn w:val="Heading"/>
    <w:next w:val="Normal"/>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P TypographicSymbols" w:hAnsi="WP TypographicSymbols" w:cs="WP TypographicSymbols"/>
    </w:rPr>
  </w:style>
  <w:style w:type="character" w:styleId="WW8Num13z0">
    <w:name w:val="WW8Num13z0"/>
    <w:qFormat/>
    <w:rPr>
      <w:rFonts w:ascii="Times New Roman" w:hAnsi="Times New Roman" w:cs="Times New Roman"/>
      <w:b w:val="false"/>
      <w:i w:val="false"/>
      <w:sz w:val="24"/>
      <w:u w:val="none"/>
    </w:rPr>
  </w:style>
  <w:style w:type="character" w:styleId="WW8Num13z2">
    <w:name w:val="WW8Num13z2"/>
    <w:qFormat/>
    <w:rPr/>
  </w:style>
  <w:style w:type="character" w:styleId="WW8Num13z8">
    <w:name w:val="WW8Num13z8"/>
    <w:qFormat/>
    <w:rPr>
      <w:rFonts w:ascii="Symbol" w:hAnsi="Symbol" w:cs="Symbol"/>
      <w:color w:val="000000"/>
      <w:sz w:val="28"/>
    </w:rPr>
  </w:style>
  <w:style w:type="character" w:styleId="WW8Num17z0">
    <w:name w:val="WW8Num17z0"/>
    <w:qFormat/>
    <w:rPr/>
  </w:style>
  <w:style w:type="character" w:styleId="WW8Num17z1">
    <w:name w:val="WW8Num17z1"/>
    <w:qFormat/>
    <w:rPr>
      <w:rFonts w:ascii="Times New Roman" w:hAnsi="Times New Roman" w:cs="Times New Roman"/>
      <w:b w:val="false"/>
      <w:i w:val="false"/>
      <w:sz w:val="22"/>
    </w:rPr>
  </w:style>
  <w:style w:type="character" w:styleId="WW8Num19z0">
    <w:name w:val="WW8Num19z0"/>
    <w:qFormat/>
    <w:rPr>
      <w:rFonts w:ascii="WP TypographicSymbols" w:hAnsi="WP TypographicSymbols" w:cs="WP TypographicSymbols"/>
    </w:rPr>
  </w:style>
  <w:style w:type="character" w:styleId="WW8Num21z0">
    <w:name w:val="WW8Num21z0"/>
    <w:qFormat/>
    <w:rPr>
      <w:rFonts w:ascii="WP TypographicSymbols" w:hAnsi="WP TypographicSymbols" w:cs="WP TypographicSymbols"/>
    </w:rPr>
  </w:style>
  <w:style w:type="character" w:styleId="WW8Num22z0">
    <w:name w:val="WW8Num22z0"/>
    <w:qFormat/>
    <w:rPr>
      <w:rFonts w:ascii="WP TypographicSymbols" w:hAnsi="WP TypographicSymbols" w:cs="WP TypographicSymbols"/>
    </w:rPr>
  </w:style>
  <w:style w:type="character" w:styleId="WW8Num23z0">
    <w:name w:val="WW8Num23z0"/>
    <w:qFormat/>
    <w:rPr>
      <w:rFonts w:ascii="WP TypographicSymbols" w:hAnsi="WP TypographicSymbols" w:cs="WP TypographicSymbols"/>
    </w:rPr>
  </w:style>
  <w:style w:type="character" w:styleId="WW8Num24z0">
    <w:name w:val="WW8Num24z0"/>
    <w:qFormat/>
    <w:rPr>
      <w:rFonts w:ascii="WP TypographicSymbols" w:hAnsi="WP TypographicSymbols" w:cs="WP TypographicSymbols"/>
    </w:rPr>
  </w:style>
  <w:style w:type="character" w:styleId="WW8Num25z0">
    <w:name w:val="WW8Num25z0"/>
    <w:qFormat/>
    <w:rPr>
      <w:rFonts w:ascii="WP TypographicSymbols" w:hAnsi="WP TypographicSymbols" w:cs="WP TypographicSymbols"/>
    </w:rPr>
  </w:style>
  <w:style w:type="character" w:styleId="WW8Num27z0">
    <w:name w:val="WW8Num27z0"/>
    <w:qFormat/>
    <w:rPr>
      <w:rFonts w:ascii="WP TypographicSymbols" w:hAnsi="WP TypographicSymbols" w:cs="WP TypographicSymbols"/>
    </w:rPr>
  </w:style>
  <w:style w:type="character" w:styleId="WW8Num29z0">
    <w:name w:val="WW8Num29z0"/>
    <w:qFormat/>
    <w:rPr>
      <w:rFonts w:ascii="WP TypographicSymbols" w:hAnsi="WP TypographicSymbols" w:cs="WP TypographicSymbols"/>
    </w:rPr>
  </w:style>
  <w:style w:type="character" w:styleId="WW8Num30z0">
    <w:name w:val="WW8Num30z0"/>
    <w:qFormat/>
    <w:rPr>
      <w:rFonts w:ascii="WP TypographicSymbols" w:hAnsi="WP TypographicSymbols" w:cs="WP TypographicSymbols"/>
    </w:rPr>
  </w:style>
  <w:style w:type="character" w:styleId="WW8Num33z0">
    <w:name w:val="WW8Num33z0"/>
    <w:qFormat/>
    <w:rPr>
      <w:rFonts w:ascii="WP TypographicSymbols" w:hAnsi="WP TypographicSymbols" w:cs="WP TypographicSymbols"/>
    </w:rPr>
  </w:style>
  <w:style w:type="character" w:styleId="WW8Num35z0">
    <w:name w:val="WW8Num35z0"/>
    <w:qFormat/>
    <w:rPr>
      <w:rFonts w:ascii="WP TypographicSymbols" w:hAnsi="WP TypographicSymbols" w:cs="WP TypographicSymbols"/>
    </w:rPr>
  </w:style>
  <w:style w:type="character" w:styleId="WW8Num36z0">
    <w:name w:val="WW8Num36z0"/>
    <w:qFormat/>
    <w:rPr/>
  </w:style>
  <w:style w:type="character" w:styleId="WW8Num38z0">
    <w:name w:val="WW8Num38z0"/>
    <w:qFormat/>
    <w:rPr>
      <w:b w:val="false"/>
    </w:rPr>
  </w:style>
  <w:style w:type="character" w:styleId="WW8Num39z3">
    <w:name w:val="WW8Num39z3"/>
    <w:qFormat/>
    <w:rPr/>
  </w:style>
  <w:style w:type="character" w:styleId="WW8Num39z8">
    <w:name w:val="WW8Num39z8"/>
    <w:qFormat/>
    <w:rPr>
      <w:rFonts w:ascii="Symbol" w:hAnsi="Symbol" w:cs="Symbol"/>
      <w:color w:val="auto"/>
      <w:sz w:val="28"/>
    </w:rPr>
  </w:style>
  <w:style w:type="character" w:styleId="WW8Num40z0">
    <w:name w:val="WW8Num40z0"/>
    <w:qFormat/>
    <w:rPr>
      <w:rFonts w:ascii="WP TypographicSymbols" w:hAnsi="WP TypographicSymbols" w:cs="WP TypographicSymbols"/>
    </w:rPr>
  </w:style>
  <w:style w:type="character" w:styleId="WW8Num43z0">
    <w:name w:val="WW8Num43z0"/>
    <w:qFormat/>
    <w:rPr>
      <w:rFonts w:ascii="WP TypographicSymbols" w:hAnsi="WP TypographicSymbols" w:cs="WP TypographicSymbols"/>
    </w:rPr>
  </w:style>
  <w:style w:type="character" w:styleId="WW8Num44z0">
    <w:name w:val="WW8Num44z0"/>
    <w:qFormat/>
    <w:rPr>
      <w:rFonts w:ascii="WP TypographicSymbols" w:hAnsi="WP TypographicSymbols" w:cs="WP TypographicSymbols"/>
    </w:rPr>
  </w:style>
  <w:style w:type="character" w:styleId="WW8Num46z0">
    <w:name w:val="WW8Num46z0"/>
    <w:qFormat/>
    <w:rPr>
      <w:rFonts w:ascii="WP TypographicSymbols" w:hAnsi="WP TypographicSymbols" w:cs="WP TypographicSymbols"/>
    </w:rPr>
  </w:style>
  <w:style w:type="character" w:styleId="WW8Num47z0">
    <w:name w:val="WW8Num47z0"/>
    <w:qFormat/>
    <w:rPr>
      <w:rFonts w:ascii="WP TypographicSymbols" w:hAnsi="WP TypographicSymbols" w:cs="WP TypographicSymbols"/>
    </w:rPr>
  </w:style>
  <w:style w:type="character" w:styleId="WW8Num48z0">
    <w:name w:val="WW8Num48z0"/>
    <w:qFormat/>
    <w:rPr>
      <w:rFonts w:ascii="WP TypographicSymbols" w:hAnsi="WP TypographicSymbols" w:cs="WP TypographicSymbols"/>
    </w:rPr>
  </w:style>
  <w:style w:type="character" w:styleId="WW8Num49z0">
    <w:name w:val="WW8Num49z0"/>
    <w:qFormat/>
    <w:rPr>
      <w:rFonts w:ascii="WP TypographicSymbols" w:hAnsi="WP TypographicSymbols" w:cs="WP TypographicSymbols"/>
    </w:rPr>
  </w:style>
  <w:style w:type="character" w:styleId="WW8Num51z0">
    <w:name w:val="WW8Num51z0"/>
    <w:qFormat/>
    <w:rPr>
      <w:rFonts w:ascii="WP TypographicSymbols" w:hAnsi="WP TypographicSymbols" w:cs="WP TypographicSymbols"/>
    </w:rPr>
  </w:style>
  <w:style w:type="character" w:styleId="WW8Num53z0">
    <w:name w:val="WW8Num53z0"/>
    <w:qFormat/>
    <w:rPr>
      <w:rFonts w:ascii="WP TypographicSymbols" w:hAnsi="WP TypographicSymbols" w:cs="WP TypographicSymbols"/>
    </w:rPr>
  </w:style>
  <w:style w:type="character" w:styleId="WW8Num54z0">
    <w:name w:val="WW8Num54z0"/>
    <w:qFormat/>
    <w:rPr>
      <w:rFonts w:ascii="WP TypographicSymbols" w:hAnsi="WP TypographicSymbols" w:cs="WP TypographicSymbols"/>
    </w:rPr>
  </w:style>
  <w:style w:type="character" w:styleId="WW8Num55z0">
    <w:name w:val="WW8Num55z0"/>
    <w:qFormat/>
    <w:rPr>
      <w:rFonts w:ascii="WP TypographicSymbols" w:hAnsi="WP TypographicSymbols" w:cs="WP TypographicSymbols"/>
    </w:rPr>
  </w:style>
  <w:style w:type="character" w:styleId="WW8Num56z0">
    <w:name w:val="WW8Num56z0"/>
    <w:qFormat/>
    <w:rPr>
      <w:rFonts w:ascii="Symbol" w:hAnsi="Symbol" w:cs="Symbol"/>
      <w:color w:val="auto"/>
    </w:rPr>
  </w:style>
  <w:style w:type="character" w:styleId="WW8Num56z1">
    <w:name w:val="WW8Num56z1"/>
    <w:qFormat/>
    <w:rPr>
      <w:rFonts w:ascii="WP TypographicSymbols" w:hAnsi="WP TypographicSymbols" w:cs="WP TypographicSymbols"/>
    </w:rPr>
  </w:style>
  <w:style w:type="character" w:styleId="WW8Num57z0">
    <w:name w:val="WW8Num57z0"/>
    <w:qFormat/>
    <w:rPr>
      <w:rFonts w:ascii="WP TypographicSymbols" w:hAnsi="WP TypographicSymbols" w:cs="WP TypographicSymbols"/>
    </w:rPr>
  </w:style>
  <w:style w:type="character" w:styleId="WW8Num58z0">
    <w:name w:val="WW8Num58z0"/>
    <w:qFormat/>
    <w:rPr>
      <w:rFonts w:ascii="WP TypographicSymbols" w:hAnsi="WP TypographicSymbols" w:cs="WP TypographicSymbols"/>
    </w:rPr>
  </w:style>
  <w:style w:type="character" w:styleId="WW8Num59z1">
    <w:name w:val="WW8Num59z1"/>
    <w:qFormat/>
    <w:rPr>
      <w:rFonts w:ascii="Times New Roman" w:hAnsi="Times New Roman" w:cs="Times New Roman"/>
      <w:b w:val="false"/>
      <w:i w:val="false"/>
      <w:sz w:val="22"/>
    </w:rPr>
  </w:style>
  <w:style w:type="character" w:styleId="WW8Num60z0">
    <w:name w:val="WW8Num60z0"/>
    <w:qFormat/>
    <w:rPr>
      <w:b w:val="false"/>
    </w:rPr>
  </w:style>
  <w:style w:type="character" w:styleId="WW8Num61z0">
    <w:name w:val="WW8Num61z0"/>
    <w:qFormat/>
    <w:rPr>
      <w:rFonts w:ascii="WP TypographicSymbols" w:hAnsi="WP TypographicSymbols" w:cs="WP TypographicSymbols"/>
    </w:rPr>
  </w:style>
  <w:style w:type="character" w:styleId="WW8Num62z0">
    <w:name w:val="WW8Num62z0"/>
    <w:qFormat/>
    <w:rPr>
      <w:rFonts w:ascii="WP TypographicSymbols" w:hAnsi="WP TypographicSymbols" w:cs="WP TypographicSymbols"/>
    </w:rPr>
  </w:style>
  <w:style w:type="character" w:styleId="WW8Num64z0">
    <w:name w:val="WW8Num64z0"/>
    <w:qFormat/>
    <w:rPr>
      <w:rFonts w:ascii="WP TypographicSymbols" w:hAnsi="WP TypographicSymbols" w:cs="WP TypographicSymbols"/>
    </w:rPr>
  </w:style>
  <w:style w:type="character" w:styleId="WW8Num65z0">
    <w:name w:val="WW8Num65z0"/>
    <w:qFormat/>
    <w:rPr>
      <w:rFonts w:ascii="WP TypographicSymbols" w:hAnsi="WP TypographicSymbols" w:cs="WP TypographicSymbols"/>
    </w:rPr>
  </w:style>
  <w:style w:type="character" w:styleId="WW8Num69z0">
    <w:name w:val="WW8Num69z0"/>
    <w:qFormat/>
    <w:rPr>
      <w:rFonts w:ascii="WP TypographicSymbols" w:hAnsi="WP TypographicSymbols" w:cs="WP TypographicSymbols"/>
    </w:rPr>
  </w:style>
  <w:style w:type="character" w:styleId="WW8Num70z0">
    <w:name w:val="WW8Num70z0"/>
    <w:qFormat/>
    <w:rPr>
      <w:rFonts w:ascii="Times New Roman" w:hAnsi="Times New Roman" w:cs="Times New Roman"/>
      <w:b w:val="false"/>
      <w:i w:val="false"/>
      <w:sz w:val="24"/>
      <w:u w:val="none"/>
    </w:rPr>
  </w:style>
  <w:style w:type="character" w:styleId="WW8Num71z0">
    <w:name w:val="WW8Num71z0"/>
    <w:qFormat/>
    <w:rPr>
      <w:rFonts w:ascii="WP TypographicSymbols" w:hAnsi="WP TypographicSymbols" w:cs="WP TypographicSymbols"/>
    </w:rPr>
  </w:style>
  <w:style w:type="character" w:styleId="WW8Num72z0">
    <w:name w:val="WW8Num72z0"/>
    <w:qFormat/>
    <w:rPr>
      <w:rFonts w:ascii="WP TypographicSymbols" w:hAnsi="WP TypographicSymbols" w:cs="WP TypographicSymbols"/>
    </w:rPr>
  </w:style>
  <w:style w:type="character" w:styleId="WW8Num73z0">
    <w:name w:val="WW8Num73z0"/>
    <w:qFormat/>
    <w:rPr>
      <w:b w:val="false"/>
    </w:rPr>
  </w:style>
  <w:style w:type="character" w:styleId="WW8Num76z0">
    <w:name w:val="WW8Num76z0"/>
    <w:qFormat/>
    <w:rPr>
      <w:rFonts w:ascii="WP TypographicSymbols" w:hAnsi="WP TypographicSymbols" w:cs="WP TypographicSymbols"/>
    </w:rPr>
  </w:style>
  <w:style w:type="character" w:styleId="WW8Num77z0">
    <w:name w:val="WW8Num77z0"/>
    <w:qFormat/>
    <w:rPr/>
  </w:style>
  <w:style w:type="character" w:styleId="WW8Num77z1">
    <w:name w:val="WW8Num77z1"/>
    <w:qFormat/>
    <w:rPr>
      <w:rFonts w:ascii="Times New Roman" w:hAnsi="Times New Roman" w:cs="Times New Roman"/>
      <w:b w:val="false"/>
      <w:i w:val="false"/>
      <w:sz w:val="22"/>
    </w:rPr>
  </w:style>
  <w:style w:type="character" w:styleId="WW8Num79z0">
    <w:name w:val="WW8Num79z0"/>
    <w:qFormat/>
    <w:rPr>
      <w:rFonts w:ascii="WP TypographicSymbols" w:hAnsi="WP TypographicSymbols" w:cs="WP TypographicSymbols"/>
    </w:rPr>
  </w:style>
  <w:style w:type="character" w:styleId="WW8Num80z0">
    <w:name w:val="WW8Num80z0"/>
    <w:qFormat/>
    <w:rPr>
      <w:rFonts w:ascii="WP TypographicSymbols" w:hAnsi="WP TypographicSymbols" w:cs="WP TypographicSymbols"/>
    </w:rPr>
  </w:style>
  <w:style w:type="character" w:styleId="WW8Num84z0">
    <w:name w:val="WW8Num84z0"/>
    <w:qFormat/>
    <w:rPr>
      <w:b w:val="fals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Underline">
    <w:name w:val="Underline"/>
    <w:basedOn w:val="DefaultParagraphFont"/>
    <w:qFormat/>
    <w:rPr>
      <w:rFonts w:ascii="Times New Roman" w:hAnsi="Times New Roman" w:cs="Times New Roman"/>
      <w:sz w:val="22"/>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both"/>
    </w:pPr>
    <w:rPr>
      <w:sz w:val="24"/>
    </w:rPr>
  </w:style>
  <w:style w:type="paragraph" w:styleId="BodyText">
    <w:name w:val="Body Text"/>
    <w:basedOn w:val="Normal"/>
    <w:pPr>
      <w:spacing w:before="0" w:after="240"/>
    </w:pPr>
    <w:rPr>
      <w:sz w:val="22"/>
    </w:rPr>
  </w:style>
  <w:style w:type="paragraph" w:styleId="List">
    <w:name w:val="List"/>
    <w:basedOn w:val="Normal"/>
    <w:pPr>
      <w:spacing w:before="0" w:after="240"/>
      <w:jc w:val="both"/>
    </w:pPr>
    <w:rPr>
      <w:sz w:val="24"/>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240"/>
      <w:ind w:hanging="0" w:start="720" w:end="0"/>
      <w:jc w:val="both"/>
    </w:pPr>
    <w:rPr>
      <w:sz w:val="24"/>
    </w:rPr>
  </w:style>
  <w:style w:type="paragraph" w:styleId="BodyTextIndent2">
    <w:name w:val="Body Text Indent 2"/>
    <w:basedOn w:val="Normal"/>
    <w:qFormat/>
    <w:pPr>
      <w:spacing w:before="0" w:after="200"/>
      <w:ind w:hanging="0" w:start="72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z w:val="24"/>
    </w:rPr>
  </w:style>
  <w:style w:type="paragraph" w:styleId="CommentText">
    <w:name w:val="Comment Text"/>
    <w:basedOn w:val="Normal"/>
    <w:qFormat/>
    <w:pPr/>
    <w:rPr/>
  </w:style>
  <w:style w:type="paragraph" w:styleId="Date">
    <w:name w:val="Date"/>
    <w:basedOn w:val="Normal"/>
    <w:next w:val="Normal"/>
    <w:qFormat/>
    <w:pPr>
      <w:spacing w:before="0" w:after="1200"/>
      <w:jc w:val="center"/>
    </w:pPr>
    <w:rPr>
      <w:sz w:val="24"/>
    </w:rPr>
  </w:style>
  <w:style w:type="paragraph" w:styleId="DocumentMap">
    <w:name w:val="Document Map"/>
    <w:basedOn w:val="Normal"/>
    <w:qFormat/>
    <w:pPr>
      <w:shd w:fill="000080" w:val="clear"/>
    </w:pPr>
    <w:rPr>
      <w:rFonts w:ascii="Tahoma" w:hAnsi="Tahoma" w:cs="Tahoma"/>
      <w:sz w:val="24"/>
    </w:rPr>
  </w:style>
  <w:style w:type="paragraph" w:styleId="E-mailSignature">
    <w:name w:val="E-mail Signature"/>
    <w:basedOn w:val="Normal"/>
    <w:qFormat/>
    <w:pPr/>
    <w:rPr>
      <w:sz w:val="24"/>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FootnoteText">
    <w:name w:val="footnote text"/>
    <w:basedOn w:val="Normal"/>
    <w:pPr>
      <w:spacing w:before="0" w:after="200"/>
      <w:jc w:val="both"/>
    </w:pPr>
    <w:rPr/>
  </w:style>
  <w:style w:type="paragraph" w:styleId="Header">
    <w:name w:val="header"/>
    <w:basedOn w:val="Normal"/>
    <w:pPr>
      <w:tabs>
        <w:tab w:val="clear" w:pos="720"/>
        <w:tab w:val="center" w:pos="4320" w:leader="none"/>
        <w:tab w:val="right" w:pos="8640" w:leader="none"/>
      </w:tabs>
    </w:pPr>
    <w:rPr>
      <w:sz w:val="24"/>
    </w:rPr>
  </w:style>
  <w:style w:type="paragraph" w:styleId="HTMLAddress">
    <w:name w:val="HTML Address"/>
    <w:basedOn w:val="Normal"/>
    <w:qFormat/>
    <w:pPr/>
    <w:rPr>
      <w:i/>
      <w:sz w:val="24"/>
    </w:rPr>
  </w:style>
  <w:style w:type="paragraph" w:styleId="HTMLPreformatted">
    <w:name w:val="HTML Preformatted"/>
    <w:basedOn w:val="Normal"/>
    <w:qFormat/>
    <w:pPr/>
    <w:rPr>
      <w:rFonts w:ascii="Courier New" w:hAnsi="Courier New" w:cs="Courier New"/>
    </w:rPr>
  </w:style>
  <w:style w:type="paragraph" w:styleId="Index1">
    <w:name w:val="index 1"/>
    <w:basedOn w:val="Normal"/>
    <w:next w:val="Normal"/>
    <w:pPr>
      <w:ind w:hanging="240" w:start="240" w:end="0"/>
    </w:pPr>
    <w:rPr>
      <w:sz w:val="24"/>
    </w:rPr>
  </w:style>
  <w:style w:type="paragraph" w:styleId="Index2">
    <w:name w:val="index 2"/>
    <w:basedOn w:val="Normal"/>
    <w:next w:val="Normal"/>
    <w:pPr>
      <w:ind w:hanging="240" w:start="480" w:end="0"/>
    </w:pPr>
    <w:rPr>
      <w:sz w:val="24"/>
    </w:rPr>
  </w:style>
  <w:style w:type="paragraph" w:styleId="Index3">
    <w:name w:val="index 3"/>
    <w:basedOn w:val="Normal"/>
    <w:next w:val="Normal"/>
    <w:pPr>
      <w:ind w:hanging="240" w:start="720" w:end="0"/>
    </w:pPr>
    <w:rPr>
      <w:sz w:val="24"/>
    </w:rPr>
  </w:style>
  <w:style w:type="paragraph" w:styleId="Index4">
    <w:name w:val="Index 4"/>
    <w:basedOn w:val="Normal"/>
    <w:next w:val="Normal"/>
    <w:qFormat/>
    <w:pPr>
      <w:ind w:hanging="240" w:start="960" w:end="0"/>
    </w:pPr>
    <w:rPr>
      <w:sz w:val="24"/>
    </w:rPr>
  </w:style>
  <w:style w:type="paragraph" w:styleId="Index5">
    <w:name w:val="Index 5"/>
    <w:basedOn w:val="Normal"/>
    <w:next w:val="Normal"/>
    <w:qFormat/>
    <w:pPr>
      <w:ind w:hanging="240" w:start="1200" w:end="0"/>
    </w:pPr>
    <w:rPr>
      <w:sz w:val="24"/>
    </w:rPr>
  </w:style>
  <w:style w:type="paragraph" w:styleId="Index6">
    <w:name w:val="Index 6"/>
    <w:basedOn w:val="Normal"/>
    <w:next w:val="Normal"/>
    <w:qFormat/>
    <w:pPr>
      <w:ind w:hanging="240" w:start="1440" w:end="0"/>
    </w:pPr>
    <w:rPr>
      <w:sz w:val="24"/>
    </w:rPr>
  </w:style>
  <w:style w:type="paragraph" w:styleId="Index7">
    <w:name w:val="Index 7"/>
    <w:basedOn w:val="Normal"/>
    <w:next w:val="Normal"/>
    <w:qFormat/>
    <w:pPr>
      <w:ind w:hanging="240" w:start="1680" w:end="0"/>
    </w:pPr>
    <w:rPr>
      <w:sz w:val="24"/>
    </w:rPr>
  </w:style>
  <w:style w:type="paragraph" w:styleId="Index8">
    <w:name w:val="Index 8"/>
    <w:basedOn w:val="Normal"/>
    <w:next w:val="Normal"/>
    <w:qFormat/>
    <w:pPr>
      <w:ind w:hanging="240" w:start="1920" w:end="0"/>
    </w:pPr>
    <w:rPr>
      <w:sz w:val="24"/>
    </w:rPr>
  </w:style>
  <w:style w:type="paragraph" w:styleId="Index9">
    <w:name w:val="Index 9"/>
    <w:basedOn w:val="Normal"/>
    <w:next w:val="Normal"/>
    <w:qFormat/>
    <w:pPr>
      <w:ind w:hanging="240" w:start="2160" w:end="0"/>
    </w:pPr>
    <w:rPr>
      <w:sz w:val="24"/>
    </w:rPr>
  </w:style>
  <w:style w:type="paragraph" w:styleId="IndexHeading">
    <w:name w:val="index heading"/>
    <w:basedOn w:val="Normal"/>
    <w:next w:val="Index1"/>
    <w:pPr/>
    <w:rPr>
      <w:rFonts w:ascii="Arial" w:hAnsi="Arial" w:cs="Arial"/>
      <w:b/>
      <w:sz w:val="24"/>
    </w:rPr>
  </w:style>
  <w:style w:type="paragraph" w:styleId="ListBullet2">
    <w:name w:val="List Bullet 2"/>
    <w:basedOn w:val="Normal"/>
    <w:pPr>
      <w:numPr>
        <w:ilvl w:val="0"/>
        <w:numId w:val="12"/>
      </w:numPr>
      <w:spacing w:before="0" w:after="240"/>
      <w:jc w:val="both"/>
    </w:pPr>
    <w:rPr>
      <w:sz w:val="24"/>
    </w:rPr>
  </w:style>
  <w:style w:type="paragraph" w:styleId="ListBullet3">
    <w:name w:val="List Bullet 3"/>
    <w:basedOn w:val="Normal"/>
    <w:pPr>
      <w:numPr>
        <w:ilvl w:val="0"/>
        <w:numId w:val="12"/>
      </w:numPr>
      <w:spacing w:before="0" w:after="240"/>
      <w:jc w:val="both"/>
    </w:pPr>
    <w:rPr>
      <w:sz w:val="24"/>
    </w:rPr>
  </w:style>
  <w:style w:type="paragraph" w:styleId="ListBullet4">
    <w:name w:val="List Bullet 4"/>
    <w:basedOn w:val="Normal"/>
    <w:pPr>
      <w:numPr>
        <w:ilvl w:val="0"/>
        <w:numId w:val="12"/>
      </w:numPr>
      <w:spacing w:before="0" w:after="240"/>
      <w:jc w:val="both"/>
    </w:pPr>
    <w:rPr>
      <w:sz w:val="24"/>
    </w:rPr>
  </w:style>
  <w:style w:type="paragraph" w:styleId="ListBullet5">
    <w:name w:val="List Bullet 5"/>
    <w:basedOn w:val="Normal"/>
    <w:pPr>
      <w:spacing w:before="0" w:after="240"/>
      <w:ind w:hanging="720" w:start="3600" w:end="0"/>
      <w:jc w:val="both"/>
    </w:pPr>
    <w:rPr>
      <w:sz w:val="24"/>
    </w:rPr>
  </w:style>
  <w:style w:type="paragraph" w:styleId="ListBullet">
    <w:name w:val="List Bullet"/>
    <w:basedOn w:val="Normal"/>
    <w:qFormat/>
    <w:pPr>
      <w:numPr>
        <w:ilvl w:val="0"/>
        <w:numId w:val="11"/>
      </w:numPr>
      <w:tabs>
        <w:tab w:val="clear" w:pos="720"/>
      </w:tabs>
    </w:pPr>
    <w:rPr>
      <w:sz w:val="24"/>
    </w:rPr>
  </w:style>
  <w:style w:type="paragraph" w:styleId="ListBullet21">
    <w:name w:val="List Bullet 21"/>
    <w:basedOn w:val="Normal"/>
    <w:qFormat/>
    <w:pPr>
      <w:numPr>
        <w:ilvl w:val="0"/>
        <w:numId w:val="9"/>
      </w:numPr>
      <w:tabs>
        <w:tab w:val="clear" w:pos="720"/>
      </w:tabs>
    </w:pPr>
    <w:rPr>
      <w:sz w:val="24"/>
    </w:rPr>
  </w:style>
  <w:style w:type="paragraph" w:styleId="ListBullet31">
    <w:name w:val="List Bullet 31"/>
    <w:basedOn w:val="Normal"/>
    <w:qFormat/>
    <w:pPr>
      <w:numPr>
        <w:ilvl w:val="0"/>
        <w:numId w:val="8"/>
      </w:numPr>
      <w:tabs>
        <w:tab w:val="clear" w:pos="720"/>
      </w:tabs>
    </w:pPr>
    <w:rPr>
      <w:sz w:val="24"/>
    </w:rPr>
  </w:style>
  <w:style w:type="paragraph" w:styleId="ListBullet41">
    <w:name w:val="List Bullet 41"/>
    <w:basedOn w:val="Normal"/>
    <w:qFormat/>
    <w:pPr>
      <w:numPr>
        <w:ilvl w:val="0"/>
        <w:numId w:val="7"/>
      </w:numPr>
      <w:tabs>
        <w:tab w:val="clear" w:pos="720"/>
      </w:tabs>
    </w:pPr>
    <w:rPr>
      <w:sz w:val="24"/>
    </w:rPr>
  </w:style>
  <w:style w:type="paragraph" w:styleId="ListBullet51">
    <w:name w:val="List Bullet 51"/>
    <w:basedOn w:val="Normal"/>
    <w:qFormat/>
    <w:pPr>
      <w:numPr>
        <w:ilvl w:val="0"/>
        <w:numId w:val="6"/>
      </w:numPr>
      <w:tabs>
        <w:tab w:val="clear" w:pos="720"/>
      </w:tabs>
    </w:pPr>
    <w:rPr>
      <w:sz w:val="24"/>
    </w:rPr>
  </w:style>
  <w:style w:type="paragraph" w:styleId="ListContinue">
    <w:name w:val="List Continue"/>
    <w:basedOn w:val="Normal"/>
    <w:qFormat/>
    <w:pPr>
      <w:spacing w:before="0" w:after="240"/>
      <w:ind w:hanging="0" w:start="720" w:end="0"/>
      <w:jc w:val="both"/>
    </w:pPr>
    <w:rPr>
      <w:sz w:val="24"/>
    </w:rPr>
  </w:style>
  <w:style w:type="paragraph" w:styleId="ListContinue2">
    <w:name w:val="List Continue 2"/>
    <w:basedOn w:val="Normal"/>
    <w:qFormat/>
    <w:pPr>
      <w:spacing w:before="0" w:after="240"/>
      <w:ind w:hanging="0" w:start="1440" w:end="0"/>
      <w:jc w:val="both"/>
    </w:pPr>
    <w:rPr>
      <w:sz w:val="24"/>
    </w:rPr>
  </w:style>
  <w:style w:type="paragraph" w:styleId="ListContinue3">
    <w:name w:val="List Continue 3"/>
    <w:basedOn w:val="Normal"/>
    <w:qFormat/>
    <w:pPr>
      <w:spacing w:before="0" w:after="120"/>
      <w:ind w:hanging="0" w:start="1080" w:end="0"/>
    </w:pPr>
    <w:rPr>
      <w:sz w:val="24"/>
    </w:rPr>
  </w:style>
  <w:style w:type="paragraph" w:styleId="ListContinue4">
    <w:name w:val="List Continue 4"/>
    <w:basedOn w:val="Normal"/>
    <w:qFormat/>
    <w:pPr>
      <w:spacing w:before="0" w:after="120"/>
      <w:ind w:hanging="0" w:start="1440" w:end="0"/>
    </w:pPr>
    <w:rPr>
      <w:sz w:val="24"/>
    </w:rPr>
  </w:style>
  <w:style w:type="paragraph" w:styleId="ListContinue5">
    <w:name w:val="List Continue 5"/>
    <w:basedOn w:val="Normal"/>
    <w:qFormat/>
    <w:pPr>
      <w:spacing w:before="0" w:after="120"/>
      <w:ind w:hanging="0" w:start="1800" w:end="0"/>
    </w:pPr>
    <w:rPr>
      <w:sz w:val="24"/>
    </w:rPr>
  </w:style>
  <w:style w:type="paragraph" w:styleId="ListNumber">
    <w:name w:val="List Number"/>
    <w:basedOn w:val="Normal"/>
    <w:qFormat/>
    <w:pPr>
      <w:numPr>
        <w:ilvl w:val="0"/>
        <w:numId w:val="10"/>
      </w:numPr>
      <w:spacing w:before="0" w:after="240"/>
    </w:pPr>
    <w:rPr>
      <w:sz w:val="22"/>
    </w:rPr>
  </w:style>
  <w:style w:type="paragraph" w:styleId="ListNumber2">
    <w:name w:val="List Number 2"/>
    <w:basedOn w:val="Normal"/>
    <w:qFormat/>
    <w:pPr>
      <w:numPr>
        <w:ilvl w:val="0"/>
        <w:numId w:val="5"/>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3"/>
      </w:numPr>
      <w:tabs>
        <w:tab w:val="clear" w:pos="720"/>
      </w:tabs>
    </w:pPr>
    <w:rPr>
      <w:sz w:val="24"/>
    </w:rPr>
  </w:style>
  <w:style w:type="paragraph" w:styleId="ListNumber5">
    <w:name w:val="List Number 5"/>
    <w:basedOn w:val="Normal"/>
    <w:qFormat/>
    <w:pPr>
      <w:numPr>
        <w:ilvl w:val="0"/>
        <w:numId w:val="2"/>
      </w:numPr>
      <w:tabs>
        <w:tab w:val="clear" w:pos="720"/>
      </w:tabs>
    </w:pPr>
    <w:rPr>
      <w:sz w:val="24"/>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Web">
    <w:name w:val="Normal (Web)"/>
    <w:basedOn w:val="Normal"/>
    <w:qFormat/>
    <w:pPr/>
    <w:rPr>
      <w:sz w:val="24"/>
    </w:rPr>
  </w:style>
  <w:style w:type="paragraph" w:styleId="NormalIndent">
    <w:name w:val="Normal Indent"/>
    <w:basedOn w:val="Normal"/>
    <w:qFormat/>
    <w:pPr>
      <w:ind w:hanging="0" w:start="720" w:end="0"/>
    </w:pPr>
    <w:rPr>
      <w:sz w:val="24"/>
    </w:rPr>
  </w:style>
  <w:style w:type="paragraph" w:styleId="NoteHeading">
    <w:name w:val="Note Heading"/>
    <w:basedOn w:val="Normal"/>
    <w:next w:val="Normal"/>
    <w:qFormat/>
    <w:pPr/>
    <w:rPr>
      <w:sz w:val="24"/>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z w:val="24"/>
    </w:rPr>
  </w:style>
  <w:style w:type="paragraph" w:styleId="Signature">
    <w:name w:val="Signature"/>
    <w:basedOn w:val="Normal"/>
    <w:pPr>
      <w:ind w:hanging="0" w:start="4320" w:end="0"/>
    </w:pPr>
    <w:rPr>
      <w:sz w:val="24"/>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40" w:start="240" w:end="0"/>
    </w:pPr>
    <w:rPr>
      <w:sz w:val="24"/>
    </w:rPr>
  </w:style>
  <w:style w:type="paragraph" w:styleId="TableofFigures">
    <w:name w:val="Table of Figures"/>
    <w:basedOn w:val="Normal"/>
    <w:next w:val="Normal"/>
    <w:qFormat/>
    <w:pPr>
      <w:ind w:hanging="480" w:start="480" w:end="0"/>
    </w:pPr>
    <w:rPr>
      <w:sz w:val="24"/>
    </w:rPr>
  </w:style>
  <w:style w:type="paragraph" w:styleId="Title">
    <w:name w:val="Title"/>
    <w:basedOn w:val="Normal"/>
    <w:next w:val="Normal"/>
    <w:qFormat/>
    <w:pPr>
      <w:pageBreakBefore/>
      <w:spacing w:before="0" w:after="240"/>
      <w:jc w:val="center"/>
    </w:pPr>
    <w:rPr>
      <w:rFonts w:ascii="Times New Roman Bold" w:hAnsi="Times New Roman Bold" w:cs="Times New Roman Bold"/>
      <w:b/>
      <w:caps/>
      <w:sz w:val="24"/>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z w:val="24"/>
    </w:rPr>
  </w:style>
  <w:style w:type="paragraph" w:styleId="TOC2">
    <w:name w:val="toc 2"/>
    <w:basedOn w:val="Normal"/>
    <w:next w:val="Normal"/>
    <w:pPr>
      <w:ind w:hanging="0" w:start="240" w:end="0"/>
    </w:pPr>
    <w:rPr>
      <w:sz w:val="24"/>
    </w:rPr>
  </w:style>
  <w:style w:type="paragraph" w:styleId="TOC3">
    <w:name w:val="toc 3"/>
    <w:basedOn w:val="Normal"/>
    <w:next w:val="Normal"/>
    <w:pPr>
      <w:ind w:hanging="0" w:start="480" w:end="0"/>
    </w:pPr>
    <w:rPr>
      <w:sz w:val="24"/>
    </w:rPr>
  </w:style>
  <w:style w:type="paragraph" w:styleId="TOC4">
    <w:name w:val="toc 4"/>
    <w:basedOn w:val="Normal"/>
    <w:next w:val="Normal"/>
    <w:pPr>
      <w:ind w:hanging="0" w:start="720" w:end="0"/>
    </w:pPr>
    <w:rPr>
      <w:sz w:val="24"/>
    </w:rPr>
  </w:style>
  <w:style w:type="paragraph" w:styleId="TOC5">
    <w:name w:val="toc 5"/>
    <w:basedOn w:val="Normal"/>
    <w:next w:val="Normal"/>
    <w:pPr>
      <w:ind w:hanging="0" w:start="960" w:end="0"/>
    </w:pPr>
    <w:rPr>
      <w:sz w:val="24"/>
    </w:rPr>
  </w:style>
  <w:style w:type="paragraph" w:styleId="TOC6">
    <w:name w:val="toc 6"/>
    <w:basedOn w:val="Normal"/>
    <w:next w:val="Normal"/>
    <w:pPr>
      <w:ind w:hanging="0" w:start="1200" w:end="0"/>
    </w:pPr>
    <w:rPr>
      <w:sz w:val="24"/>
    </w:rPr>
  </w:style>
  <w:style w:type="paragraph" w:styleId="TOC7">
    <w:name w:val="toc 7"/>
    <w:basedOn w:val="Normal"/>
    <w:next w:val="Normal"/>
    <w:pPr>
      <w:ind w:hanging="0" w:start="1440" w:end="0"/>
    </w:pPr>
    <w:rPr>
      <w:sz w:val="24"/>
    </w:rPr>
  </w:style>
  <w:style w:type="paragraph" w:styleId="TOC8">
    <w:name w:val="toc 8"/>
    <w:basedOn w:val="Normal"/>
    <w:next w:val="Normal"/>
    <w:pPr>
      <w:ind w:hanging="0" w:start="1680" w:end="0"/>
    </w:pPr>
    <w:rPr>
      <w:sz w:val="24"/>
    </w:rPr>
  </w:style>
  <w:style w:type="paragraph" w:styleId="TOC9">
    <w:name w:val="toc 9"/>
    <w:basedOn w:val="Normal"/>
    <w:next w:val="Normal"/>
    <w:pPr>
      <w:ind w:hanging="0" w:start="1920" w:end="0"/>
    </w:pPr>
    <w:rPr>
      <w:sz w:val="24"/>
    </w:rPr>
  </w:style>
  <w:style w:type="paragraph" w:styleId="Notices">
    <w:name w:val="Notices"/>
    <w:basedOn w:val="Normal"/>
    <w:qFormat/>
    <w:pPr>
      <w:keepLines/>
      <w:tabs>
        <w:tab w:val="clear" w:pos="720"/>
        <w:tab w:val="left" w:pos="2160" w:leader="none"/>
      </w:tabs>
      <w:spacing w:before="0" w:after="240"/>
      <w:ind w:hanging="2880" w:start="4320" w:end="0"/>
    </w:pPr>
    <w:rPr>
      <w:sz w:val="24"/>
    </w:rPr>
  </w:style>
  <w:style w:type="paragraph" w:styleId="1LargeBullet">
    <w:name w:val="1Large Bullet"/>
    <w:qFormat/>
    <w:pPr>
      <w:widowControl/>
      <w:numPr>
        <w:ilvl w:val="0"/>
        <w:numId w:val="15"/>
      </w:numPr>
      <w:tabs>
        <w:tab w:val="clear" w:pos="720"/>
      </w:tabs>
      <w:bidi w:val="0"/>
      <w:spacing w:before="0" w:after="240"/>
      <w:ind w:hanging="360" w:start="360" w:end="0"/>
    </w:pPr>
    <w:rPr>
      <w:rFonts w:ascii="Times New Roman" w:hAnsi="Times New Roman" w:eastAsia="Times New Roman" w:cs="Times New Roman"/>
      <w:color w:val="auto"/>
      <w:sz w:val="20"/>
      <w:szCs w:val="20"/>
      <w:lang w:val="en-US" w:eastAsia="zh-CN" w:bidi="hi-IN"/>
    </w:rPr>
  </w:style>
  <w:style w:type="paragraph" w:styleId="1Outline">
    <w:name w:val="1!Outline"/>
    <w:qFormat/>
    <w:pPr>
      <w:widowControl w:val="false"/>
      <w:tabs>
        <w:tab w:val="left" w:pos="720" w:leader="none"/>
      </w:tabs>
      <w:bidi w:val="0"/>
      <w:ind w:hanging="720" w:start="720" w:end="0"/>
    </w:pPr>
    <w:rPr>
      <w:rFonts w:ascii="Times New Roman" w:hAnsi="Times New Roman" w:eastAsia="Times New Roman" w:cs="Times New Roman"/>
      <w:color w:val="auto"/>
      <w:sz w:val="24"/>
      <w:szCs w:val="20"/>
      <w:lang w:val="en-US" w:eastAsia="zh-CN" w:bidi="hi-IN"/>
    </w:rPr>
  </w:style>
  <w:style w:type="paragraph" w:styleId="2Outline">
    <w:name w:val="2!Outline"/>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zh-CN" w:bidi="hi-IN"/>
    </w:rPr>
  </w:style>
  <w:style w:type="paragraph" w:styleId="3Outline">
    <w:name w:val="3!Outline"/>
    <w:qFormat/>
    <w:pPr>
      <w:widowControl/>
      <w:tabs>
        <w:tab w:val="left" w:pos="720" w:leader="none"/>
        <w:tab w:val="left" w:pos="1440" w:leader="none"/>
      </w:tabs>
      <w:bidi w:val="0"/>
      <w:ind w:hanging="720" w:start="1440" w:end="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jc w:val="both"/>
    </w:pPr>
    <w:rPr/>
  </w:style>
  <w:style w:type="paragraph" w:styleId="BodyTextFirstIndent2">
    <w:name w:val="Body Text First Indent 2"/>
    <w:basedOn w:val="BodyTextIndent"/>
    <w:qFormat/>
    <w:pPr>
      <w:spacing w:before="0" w:after="120"/>
      <w:ind w:firstLine="210" w:start="360" w:end="0"/>
      <w:jc w:val="star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2000-07-27T20:07:00Z</dcterms:created>
  <dc:creator>A&amp;K</dc:creator>
  <dc:description/>
  <dc:language>en-CA</dc:language>
  <cp:lastModifiedBy>A&amp;K</cp:lastModifiedBy>
  <cp:lastPrinted>2000-06-28T10:44:00Z</cp:lastPrinted>
  <dcterms:modified xsi:type="dcterms:W3CDTF">2000-07-27T20:07:00Z</dcterms:modified>
  <cp:revision>2</cp:revision>
  <dc:subject/>
  <dc:title>LOST CREEK GATHERING COMPANY, L</dc:title>
</cp:coreProperties>
</file>