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b/>
          <w:sz w:val="24"/>
          <w:lang w:eastAsia="en-US"/>
        </w:rPr>
      </w:pPr>
      <w:r>
        <w:rPr>
          <w:b/>
          <w:sz w:val="24"/>
          <w:lang w:eastAsia="en-US"/>
        </w:rPr>
        <w:t>PURPOSE &amp; SCOPE</w:t>
      </w:r>
    </w:p>
    <w:p>
      <w:pPr>
        <w:pStyle w:val="Normal"/>
        <w:spacing w:before="0" w:after="240"/>
        <w:rPr/>
      </w:pPr>
      <w:r>
        <w:rPr>
          <w:sz w:val="24"/>
          <w:lang w:eastAsia="en-US"/>
        </w:rPr>
        <w:t xml:space="preserve">Nevada Power Company (NPC) issues this Request for Proposals (RFP) to solicit competitive proposals for power to support its growing electrical service territory demand.  NPC is an operating subsidiary of Sierra Pacific Resources.  General information related to Sierra Pacific Resources and NPC can be obtained at </w:t>
      </w:r>
      <w:hyperlink r:id="rId2">
        <w:r>
          <w:rPr>
            <w:rStyle w:val="Hyperlink"/>
            <w:sz w:val="24"/>
          </w:rPr>
          <w:t>http://www.sierrapacificresources.com</w:t>
        </w:r>
      </w:hyperlink>
      <w:r>
        <w:rPr>
          <w:sz w:val="24"/>
          <w:lang w:eastAsia="en-US"/>
        </w:rPr>
        <w:t xml:space="preserve">.  </w:t>
      </w:r>
    </w:p>
    <w:p>
      <w:pPr>
        <w:pStyle w:val="Normal"/>
        <w:spacing w:before="0" w:after="240"/>
        <w:rPr>
          <w:sz w:val="24"/>
          <w:lang w:eastAsia="en-US"/>
        </w:rPr>
      </w:pPr>
      <w:r>
        <w:rPr>
          <w:sz w:val="24"/>
          <w:lang w:eastAsia="en-US"/>
        </w:rPr>
        <w:t xml:space="preserve">NPC invites proposals that will offer exceptional value to NPC and its customers.  Respondents are required to provide Firm Energy in the amounts, and during the term, specified in Attachment 1.  This RFP also requires the sale of Energy to Respondent by NPC during 2001 in the amounts and at prices specified in Attachment 1.  For purposes of this solicitation, NPC is encouraging Respondents to provide a proposal that conforms to the specifications contained in Attachment 1.  Proposals for different contract terms and contract options may be considered only to the extent that year 2001 pricing and quantities conform to the requirements contained in Attachment 1.  </w:t>
      </w:r>
    </w:p>
    <w:p>
      <w:pPr>
        <w:pStyle w:val="Normal"/>
        <w:spacing w:before="0" w:after="240"/>
        <w:rPr>
          <w:b/>
          <w:sz w:val="24"/>
          <w:lang w:eastAsia="en-US"/>
        </w:rPr>
      </w:pPr>
      <w:r>
        <w:rPr>
          <w:b/>
          <w:sz w:val="24"/>
          <w:lang w:eastAsia="en-US"/>
        </w:rPr>
        <w:t>SCHEDULE</w:t>
      </w:r>
    </w:p>
    <w:p>
      <w:pPr>
        <w:pStyle w:val="Normal"/>
        <w:spacing w:before="0" w:after="240"/>
        <w:rPr>
          <w:sz w:val="24"/>
          <w:lang w:eastAsia="en-US"/>
        </w:rPr>
      </w:pPr>
      <w:r>
        <w:rPr>
          <w:sz w:val="24"/>
          <w:lang w:eastAsia="en-US"/>
        </w:rPr>
        <w:t>NPC reserves the right to revise, suspend, or terminate this schedule at its sole discretion.  Any changes to the schedule will be provided, as appropriate, to entities which have been provided a copy of this RFP by NPC.</w:t>
      </w:r>
    </w:p>
    <w:p>
      <w:pPr>
        <w:pStyle w:val="Heading3"/>
        <w:rPr>
          <w:lang w:eastAsia="en-US"/>
        </w:rPr>
      </w:pPr>
      <w:r>
        <w:rPr>
          <w:lang w:eastAsia="en-US"/>
        </w:rPr>
        <w:t>Summary of Key Dates</w:t>
      </w:r>
    </w:p>
    <w:p>
      <w:pPr>
        <w:pStyle w:val="Normal"/>
        <w:rPr>
          <w:lang w:eastAsia="en-US"/>
        </w:rPr>
      </w:pPr>
      <w:r>
        <w:rPr>
          <w:lang w:eastAsia="en-US"/>
        </w:rPr>
      </w:r>
    </w:p>
    <w:p>
      <w:pPr>
        <w:pStyle w:val="Normal"/>
        <w:numPr>
          <w:ilvl w:val="0"/>
          <w:numId w:val="7"/>
        </w:numPr>
        <w:tabs>
          <w:tab w:val="clear" w:pos="720"/>
          <w:tab w:val="left" w:pos="540" w:leader="none"/>
        </w:tabs>
        <w:spacing w:before="0" w:after="240"/>
        <w:ind w:hanging="540" w:start="540" w:end="0"/>
        <w:rPr>
          <w:sz w:val="24"/>
          <w:lang w:eastAsia="en-US"/>
        </w:rPr>
      </w:pPr>
      <w:r>
        <w:rPr>
          <w:sz w:val="24"/>
          <w:lang w:eastAsia="en-US"/>
        </w:rPr>
        <w:t xml:space="preserve">January 30, 2001 - RFP issued. </w:t>
      </w:r>
    </w:p>
    <w:p>
      <w:pPr>
        <w:pStyle w:val="Normal"/>
        <w:numPr>
          <w:ilvl w:val="0"/>
          <w:numId w:val="7"/>
        </w:numPr>
        <w:tabs>
          <w:tab w:val="clear" w:pos="720"/>
          <w:tab w:val="left" w:pos="540" w:leader="none"/>
          <w:tab w:val="left" w:pos="3780" w:leader="none"/>
          <w:tab w:val="left" w:pos="3960" w:leader="none"/>
        </w:tabs>
        <w:spacing w:before="0" w:after="240"/>
        <w:ind w:hanging="540" w:start="540" w:end="0"/>
        <w:rPr>
          <w:sz w:val="24"/>
          <w:lang w:eastAsia="en-US"/>
        </w:rPr>
      </w:pPr>
      <w:r>
        <w:rPr>
          <w:sz w:val="24"/>
          <w:lang w:eastAsia="en-US"/>
        </w:rPr>
        <w:t>January 30 – February 19, 2001 - NPC will respond to questions regarding RFP.  All questions must be submitted in writing.</w:t>
      </w:r>
    </w:p>
    <w:p>
      <w:pPr>
        <w:pStyle w:val="Normal"/>
        <w:numPr>
          <w:ilvl w:val="0"/>
          <w:numId w:val="7"/>
        </w:numPr>
        <w:tabs>
          <w:tab w:val="clear" w:pos="720"/>
          <w:tab w:val="left" w:pos="540" w:leader="none"/>
          <w:tab w:val="left" w:pos="2340" w:leader="none"/>
          <w:tab w:val="left" w:pos="2610" w:leader="none"/>
        </w:tabs>
        <w:spacing w:before="0" w:after="240"/>
        <w:ind w:hanging="540" w:start="540" w:end="0"/>
        <w:rPr>
          <w:sz w:val="24"/>
          <w:lang w:eastAsia="en-US"/>
        </w:rPr>
      </w:pPr>
      <w:r>
        <w:rPr>
          <w:sz w:val="24"/>
          <w:lang w:eastAsia="en-US"/>
        </w:rPr>
        <w:t>February 23, 2001 - Proposals must be received by NPC by 5:00P.M. PST.</w:t>
      </w:r>
    </w:p>
    <w:p>
      <w:pPr>
        <w:pStyle w:val="Normal"/>
        <w:numPr>
          <w:ilvl w:val="0"/>
          <w:numId w:val="7"/>
        </w:numPr>
        <w:tabs>
          <w:tab w:val="clear" w:pos="720"/>
          <w:tab w:val="left" w:pos="540" w:leader="none"/>
          <w:tab w:val="left" w:pos="2340" w:leader="none"/>
          <w:tab w:val="left" w:pos="2610" w:leader="none"/>
        </w:tabs>
        <w:spacing w:before="0" w:after="240"/>
        <w:ind w:hanging="540" w:start="540" w:end="0"/>
        <w:rPr>
          <w:sz w:val="24"/>
          <w:lang w:eastAsia="en-US"/>
        </w:rPr>
      </w:pPr>
      <w:r>
        <w:rPr>
          <w:sz w:val="24"/>
          <w:lang w:eastAsia="en-US"/>
        </w:rPr>
        <w:t>March 23, 2001 - Negotiations  completed and Agreements signed.</w:t>
      </w:r>
    </w:p>
    <w:p>
      <w:pPr>
        <w:pStyle w:val="Normal"/>
        <w:numPr>
          <w:ilvl w:val="0"/>
          <w:numId w:val="7"/>
        </w:numPr>
        <w:tabs>
          <w:tab w:val="clear" w:pos="720"/>
          <w:tab w:val="left" w:pos="540" w:leader="none"/>
          <w:tab w:val="left" w:pos="2340" w:leader="none"/>
          <w:tab w:val="left" w:pos="2610" w:leader="none"/>
        </w:tabs>
        <w:spacing w:before="0" w:after="240"/>
        <w:ind w:hanging="540" w:start="540" w:end="0"/>
        <w:rPr>
          <w:sz w:val="24"/>
          <w:lang w:eastAsia="en-US"/>
        </w:rPr>
      </w:pPr>
      <w:r>
        <w:rPr>
          <w:sz w:val="24"/>
          <w:lang w:eastAsia="en-US"/>
        </w:rPr>
        <w:t>April 1, 2001 - Delivery of power to NPC begins.</w:t>
      </w:r>
    </w:p>
    <w:p>
      <w:pPr>
        <w:pStyle w:val="Normal"/>
        <w:spacing w:before="0" w:after="240"/>
        <w:rPr>
          <w:b/>
          <w:sz w:val="24"/>
          <w:lang w:eastAsia="en-US"/>
        </w:rPr>
      </w:pPr>
      <w:r>
        <w:rPr>
          <w:b/>
          <w:sz w:val="24"/>
          <w:lang w:eastAsia="en-US"/>
        </w:rPr>
        <w:t>PROPOSAL INSTRUCTIONS</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All inquiries and other communications relating in any manner to this RFP must be directed in writing or by facsimile or e-mail to NPC's RFP Contact.  Meetings via conference calls or in-person will be arranged by NPC if required to clarify any outstanding issues or questions the Respondents may have.</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All Respondents must submit with their proposal a Proposal Summary Form using the form provided as Attachment 1.</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All proposals submitted must conform to the information contained in Attachment 1 and include all applicable information for NPC to properly evaluate Respondent’s proposal.  Respondent should, at the time of submittal, supply any additional information not included in the forms if such information may be needed for a thorough understanding or evaluation of the proposal.  All responses will be considered commitments to be used in developing the agreement between NPC and the Respondent that may arise from this RFP.  A signed written original, and an electronic copy including all attachments, must be submitted.  In the event of a discrepancy between the electronic forms and the printed copy, the printed and signed copy will be considered to be correct.</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Respondent shall state in its proposal acceptance to using WSPP contract terms as modified by the contract terms contained in the RFP.  If applicable, Respondent shall identify its changes to the contract terms herein in its proposal.</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A duly authorized officer of the Respondent must sign the proposal.</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All proposals, including all attachments, must be properly completed and submitted by overnight courier or Registered or Certified Mail, Return Receipt Requested, in both hard copy and electronic versions, to NPC’ s RFP Contact:</w:t>
      </w:r>
    </w:p>
    <w:p>
      <w:pPr>
        <w:pStyle w:val="Normal"/>
        <w:ind w:start="1440" w:end="0"/>
        <w:rPr>
          <w:sz w:val="24"/>
          <w:lang w:eastAsia="en-US"/>
        </w:rPr>
      </w:pPr>
      <w:r>
        <w:rPr>
          <w:sz w:val="24"/>
          <w:lang w:eastAsia="en-US"/>
        </w:rPr>
        <w:t>Mr. Craig Berg</w:t>
      </w:r>
    </w:p>
    <w:p>
      <w:pPr>
        <w:pStyle w:val="Normal"/>
        <w:ind w:start="1440" w:end="0"/>
        <w:rPr>
          <w:sz w:val="24"/>
          <w:lang w:eastAsia="en-US"/>
        </w:rPr>
      </w:pPr>
      <w:r>
        <w:rPr>
          <w:sz w:val="24"/>
          <w:lang w:eastAsia="en-US"/>
        </w:rPr>
        <w:t>Director Risk Management</w:t>
      </w:r>
    </w:p>
    <w:p>
      <w:pPr>
        <w:pStyle w:val="Normal"/>
        <w:ind w:start="1440" w:end="0"/>
        <w:rPr>
          <w:sz w:val="24"/>
          <w:lang w:eastAsia="en-US"/>
        </w:rPr>
      </w:pPr>
      <w:r>
        <w:rPr>
          <w:sz w:val="24"/>
          <w:lang w:eastAsia="en-US"/>
        </w:rPr>
        <w:t>Sierra Pacific Resources</w:t>
      </w:r>
    </w:p>
    <w:p>
      <w:pPr>
        <w:pStyle w:val="Normal"/>
        <w:ind w:start="1440" w:end="0"/>
        <w:rPr>
          <w:sz w:val="24"/>
          <w:lang w:eastAsia="en-US"/>
        </w:rPr>
      </w:pPr>
      <w:r>
        <w:rPr>
          <w:sz w:val="24"/>
          <w:lang w:eastAsia="en-US"/>
        </w:rPr>
        <w:t>6100 Neil Road, Mail Station S3B40</w:t>
      </w:r>
    </w:p>
    <w:p>
      <w:pPr>
        <w:pStyle w:val="Normal"/>
        <w:ind w:start="1440" w:end="0"/>
        <w:rPr>
          <w:sz w:val="24"/>
          <w:lang w:eastAsia="en-US"/>
        </w:rPr>
      </w:pPr>
      <w:r>
        <w:rPr>
          <w:sz w:val="24"/>
          <w:lang w:eastAsia="en-US"/>
        </w:rPr>
        <w:t>Reno, Nevada 89520-3150</w:t>
      </w:r>
    </w:p>
    <w:p>
      <w:pPr>
        <w:pStyle w:val="Normal"/>
        <w:ind w:start="1440" w:end="0"/>
        <w:rPr>
          <w:sz w:val="24"/>
          <w:lang w:eastAsia="en-US"/>
        </w:rPr>
      </w:pPr>
      <w:r>
        <w:rPr>
          <w:sz w:val="24"/>
          <w:lang w:eastAsia="en-US"/>
        </w:rPr>
        <w:t>ATTENTION: REQUEST FOR PROPOSAL</w:t>
      </w:r>
    </w:p>
    <w:p>
      <w:pPr>
        <w:pStyle w:val="Normal"/>
        <w:ind w:start="1440" w:end="0"/>
        <w:rPr>
          <w:sz w:val="24"/>
          <w:lang w:eastAsia="en-US"/>
        </w:rPr>
      </w:pPr>
      <w:r>
        <w:rPr>
          <w:sz w:val="24"/>
          <w:lang w:eastAsia="en-US"/>
        </w:rPr>
      </w:r>
    </w:p>
    <w:p>
      <w:pPr>
        <w:pStyle w:val="Normal"/>
        <w:ind w:start="1440" w:end="0"/>
        <w:rPr>
          <w:sz w:val="24"/>
          <w:lang w:eastAsia="en-US"/>
        </w:rPr>
      </w:pPr>
      <w:r>
        <w:rPr>
          <w:sz w:val="24"/>
          <w:lang w:eastAsia="en-US"/>
        </w:rPr>
        <w:t xml:space="preserve">Phone: (775) 834-4531 </w:t>
      </w:r>
    </w:p>
    <w:p>
      <w:pPr>
        <w:pStyle w:val="Normal"/>
        <w:ind w:start="1440" w:end="0"/>
        <w:rPr>
          <w:sz w:val="24"/>
          <w:lang w:eastAsia="en-US"/>
        </w:rPr>
      </w:pPr>
      <w:r>
        <w:rPr>
          <w:sz w:val="24"/>
          <w:lang w:eastAsia="en-US"/>
        </w:rPr>
        <w:t>Facsimile: (775) 834-3841</w:t>
      </w:r>
    </w:p>
    <w:p>
      <w:pPr>
        <w:pStyle w:val="Normal"/>
        <w:ind w:start="1440" w:end="0"/>
        <w:rPr>
          <w:sz w:val="24"/>
          <w:lang w:eastAsia="en-US"/>
        </w:rPr>
      </w:pPr>
      <w:r>
        <w:rPr>
          <w:b/>
          <w:sz w:val="24"/>
          <w:lang w:eastAsia="en-US"/>
        </w:rPr>
        <w:t>E-mail:</w:t>
      </w:r>
      <w:r>
        <w:rPr>
          <w:sz w:val="24"/>
          <w:lang w:eastAsia="en-US"/>
        </w:rPr>
        <w:t xml:space="preserve"> </w:t>
      </w:r>
      <w:hyperlink r:id="rId3">
        <w:r>
          <w:rPr>
            <w:rStyle w:val="Hyperlink"/>
            <w:sz w:val="24"/>
          </w:rPr>
          <w:t>Cberg@sppc.com</w:t>
        </w:r>
      </w:hyperlink>
    </w:p>
    <w:p>
      <w:pPr>
        <w:pStyle w:val="BodyText2"/>
        <w:spacing w:before="0" w:after="240"/>
        <w:ind w:start="1440" w:end="0"/>
        <w:rPr>
          <w:sz w:val="24"/>
          <w:lang w:eastAsia="en-US"/>
        </w:rPr>
      </w:pPr>
      <w:r>
        <w:rPr>
          <w:sz w:val="24"/>
          <w:lang w:eastAsia="en-US"/>
        </w:rPr>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 xml:space="preserve">All proposals must be received by NPC's RFP Contact by no later than 5:00 PM (PST) on Friday, February 23, 2001.  Late and/or incomplete proposals may not be considered. Proposals will remain binding on Respondent through the date for completion of negotiations. </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Complete information is needed to facilitate a timely evaluation.  NPC may request clarifying or additional information at any time during the evaluation process, and Respondent will be expected to provide timely responses to facilitate the evaluation and decision making process within the time constraints.  Respondent must provide all data requested in the RFP and the applicable attachments.  NPC may eliminate non-specific proposals from further consideration.</w:t>
      </w:r>
    </w:p>
    <w:p>
      <w:pPr>
        <w:pStyle w:val="Normal"/>
        <w:numPr>
          <w:ilvl w:val="0"/>
          <w:numId w:val="17"/>
        </w:numPr>
        <w:tabs>
          <w:tab w:val="clear" w:pos="720"/>
          <w:tab w:val="left" w:pos="540" w:leader="none"/>
        </w:tabs>
        <w:spacing w:before="0" w:after="240"/>
        <w:ind w:hanging="540" w:start="540" w:end="0"/>
        <w:rPr>
          <w:sz w:val="24"/>
          <w:lang w:eastAsia="en-US"/>
        </w:rPr>
      </w:pPr>
      <w:r>
        <w:rPr>
          <w:sz w:val="24"/>
          <w:lang w:eastAsia="en-US"/>
        </w:rPr>
        <w:t xml:space="preserve">Proposals must reflect any and all of the costs that NPC would be expected to pay for power delivered to NPC.  If any portion of the total delivered cost of power is not intended to be clearly defined in the pricing outlined in the proposal, then a detailed description of the proposed approach regarding that portion of cost must be clearly delineated in the proposal.  Prices and dollar figures quoted must be clearly stated in $US as nominal for the year in which they occur.  For non-nominal prices, the appropriate year for the stated dollars must be identified along with applicable escalation rates to be used for subsequent years. </w:t>
      </w:r>
    </w:p>
    <w:p>
      <w:pPr>
        <w:pStyle w:val="Normal"/>
        <w:numPr>
          <w:ilvl w:val="0"/>
          <w:numId w:val="17"/>
        </w:numPr>
        <w:tabs>
          <w:tab w:val="clear" w:pos="720"/>
          <w:tab w:val="left" w:pos="540" w:leader="none"/>
        </w:tabs>
        <w:spacing w:before="0" w:after="240"/>
        <w:ind w:hanging="547" w:start="547" w:end="0"/>
        <w:rPr>
          <w:sz w:val="24"/>
          <w:lang w:eastAsia="en-US"/>
        </w:rPr>
      </w:pPr>
      <w:r>
        <w:rPr>
          <w:sz w:val="24"/>
          <w:lang w:eastAsia="en-US"/>
        </w:rPr>
        <w:t>None of the material received by NPC from Respondent in response to this RFP will be returned to Respondent.  All materials and proposals submitted by Respondent will become the property of NPC and may be used by NPC for any purpose.</w:t>
      </w:r>
    </w:p>
    <w:p>
      <w:pPr>
        <w:pStyle w:val="Heading9"/>
        <w:spacing w:before="0" w:after="240"/>
        <w:ind w:hanging="0" w:start="0"/>
        <w:rPr>
          <w:lang w:eastAsia="en-US"/>
        </w:rPr>
      </w:pPr>
      <w:r>
        <w:rPr>
          <w:lang w:eastAsia="en-US"/>
        </w:rPr>
        <w:t>CONFIDENTIALITY</w:t>
      </w:r>
    </w:p>
    <w:p>
      <w:pPr>
        <w:pStyle w:val="Normal"/>
        <w:spacing w:before="0" w:after="240"/>
        <w:rPr>
          <w:sz w:val="24"/>
          <w:lang w:eastAsia="en-US"/>
        </w:rPr>
      </w:pPr>
      <w:r>
        <w:rPr>
          <w:sz w:val="24"/>
          <w:lang w:eastAsia="en-US"/>
        </w:rPr>
        <w:t>NPC will take reasonable precautions and use reasonable efforts to protect any proprietary and confidential information contained in a proposal provided that such information is clearly identified by Respondent as "Proprietary and Confidential" on the page on which proprietary and confidential information appears.  Such information may, however, be made available under applicable state or federal law to regulatory commission(s), their staff(s), or other governmental agencies having an interest in these matters.  NPC also reserves the right to release such information to its agents, or contractors for the purpose of evaluating Respondent's proposal but such agents, or contractors will be required to observe the same care with respect to disclosure as NPC.  Under no circumstances will NPC, Sierra Pacific Resources or their agents, or contractors, be liable for any damages resulting from any disclosure during or after the solicitation process.</w:t>
      </w:r>
    </w:p>
    <w:p>
      <w:pPr>
        <w:pStyle w:val="Normal"/>
        <w:spacing w:before="0" w:after="240"/>
        <w:rPr>
          <w:b/>
          <w:sz w:val="24"/>
          <w:lang w:eastAsia="en-US"/>
        </w:rPr>
      </w:pPr>
      <w:r>
        <w:rPr>
          <w:b/>
          <w:sz w:val="24"/>
          <w:lang w:eastAsia="en-US"/>
        </w:rPr>
        <w:t>FIRM ENERGY REQUIREMENTS</w:t>
      </w:r>
    </w:p>
    <w:p>
      <w:pPr>
        <w:pStyle w:val="Normal"/>
        <w:spacing w:before="0" w:after="240"/>
        <w:rPr>
          <w:sz w:val="24"/>
          <w:lang w:eastAsia="en-US"/>
        </w:rPr>
      </w:pPr>
      <w:r>
        <w:rPr>
          <w:sz w:val="24"/>
          <w:lang w:eastAsia="en-US"/>
        </w:rPr>
        <w:t>NPC’s Firm Energy requirements, for the purpose of this RFP, are defined as the quantities identified in Attachment 1.  NPC will consider proposals of less than the required quantities identified in Attachment 1, provided that such proposals can be grouped with other proposals to make up the necessary quantities.  In such an event, Respondents will be allocated and awarded a pro-rata portion of the amounts shown in Attachment 1 during the term of the agreement.</w:t>
      </w:r>
    </w:p>
    <w:p>
      <w:pPr>
        <w:pStyle w:val="Normal"/>
        <w:spacing w:before="0" w:after="240"/>
        <w:rPr>
          <w:b/>
          <w:sz w:val="24"/>
          <w:lang w:eastAsia="en-US"/>
        </w:rPr>
      </w:pPr>
      <w:r>
        <w:rPr>
          <w:b/>
          <w:sz w:val="24"/>
          <w:lang w:eastAsia="en-US"/>
        </w:rPr>
        <w:t>PROPOSAL EVALUATION</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NPC will evaluate proposals and select proposals, if any, which provide the most value to NPC and its customers.  NPC reserves the right to evaluate the proposals in a manner that ultimately produces the most competitive responses from which to begin negotiations.</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 xml:space="preserve">Proposals may be combined with other proposals. </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NPC will determine at its sole discretion the value of any and/or all proposals.</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Information provided from each Respondent by the proposal due date will be used to begin negotiations.</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 xml:space="preserve">NPC will evaluate the proposals in terms of price and non-price attributes. </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NPC will perform an initial screening evaluation to identify and eliminate any proposals that are not responsive to the RFP, do not meet the minimum requirements set forth in the RFP, are clearly not economically competitive with other proposals, or are submitted by Respondents that lack appropriate creditworthiness or sufficient financial resources or qualifications to provide dependable and reliable service.</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 xml:space="preserve">NPC reserves the right, without qualification and in its sole discretion, to accept or reject any or all proposals for any reason without explanation to the Respondent, or to make the award to that Respondent, who, in the opinion of NPC, will provide the most value to NPC and its customers.  NPC also reserves the right to make an award to other than the lowest price offer or to the proposal evidencing the greatest technical ability if NPC determines that to do so would result in the greatest value to NPC and its customers. </w:t>
      </w:r>
    </w:p>
    <w:p>
      <w:pPr>
        <w:pStyle w:val="Normal"/>
        <w:numPr>
          <w:ilvl w:val="0"/>
          <w:numId w:val="11"/>
        </w:numPr>
        <w:tabs>
          <w:tab w:val="clear" w:pos="720"/>
          <w:tab w:val="left" w:pos="540" w:leader="none"/>
        </w:tabs>
        <w:spacing w:before="0" w:after="240"/>
        <w:ind w:hanging="540" w:start="540" w:end="0"/>
        <w:rPr>
          <w:sz w:val="24"/>
          <w:lang w:eastAsia="en-US"/>
        </w:rPr>
      </w:pPr>
      <w:r>
        <w:rPr>
          <w:sz w:val="24"/>
          <w:lang w:eastAsia="en-US"/>
        </w:rPr>
        <w:t>NPC reserves the right to reject any, all, or portions of the proposals received for failure to meet any criteria set forth in this RFP.  NPC also may decline to enter into a power purchase arrangement with any Respondent, terminate negotiations with any Respondent,  or to abandon the RFP process in its entirety.  NPC reserves the right to revise the Firm Energy needs forecast at any point during the RFP process or during negotiations and any such change may reduce, eliminate, or increase the amount of power sought.</w:t>
      </w:r>
    </w:p>
    <w:p>
      <w:pPr>
        <w:pStyle w:val="Normal"/>
        <w:numPr>
          <w:ilvl w:val="0"/>
          <w:numId w:val="11"/>
        </w:numPr>
        <w:tabs>
          <w:tab w:val="clear" w:pos="720"/>
          <w:tab w:val="left" w:pos="540" w:leader="none"/>
        </w:tabs>
        <w:spacing w:before="0" w:after="240"/>
        <w:ind w:hanging="540" w:start="540" w:end="0"/>
        <w:rPr>
          <w:sz w:val="24"/>
        </w:rPr>
      </w:pPr>
      <w:r>
        <w:rPr>
          <w:sz w:val="24"/>
          <w:lang w:eastAsia="en-US"/>
        </w:rPr>
        <w:t>Those who submit proposals agree to do so without legal recourse against NPC, Sierra Pacific Resources, its affiliates or subsidiaries, and their directors, officers, employees and agents for rejection of their proposal(s) or for failure to execute a power purchase agreement for any reason.  NPC and Sierra Pacific Resources shall not be liable to any Respondent or party in law or equity for any reason whatsoever for any acts or omissions arising out of or in connection with this RFP.</w:t>
      </w:r>
    </w:p>
    <w:p>
      <w:pPr>
        <w:pStyle w:val="Normal"/>
        <w:numPr>
          <w:ilvl w:val="0"/>
          <w:numId w:val="11"/>
        </w:numPr>
        <w:tabs>
          <w:tab w:val="clear" w:pos="720"/>
          <w:tab w:val="left" w:pos="540" w:leader="none"/>
        </w:tabs>
        <w:spacing w:before="0" w:after="240"/>
        <w:ind w:hanging="540" w:start="540" w:end="0"/>
        <w:rPr>
          <w:sz w:val="24"/>
        </w:rPr>
      </w:pPr>
      <w:r>
        <w:rPr>
          <w:sz w:val="24"/>
          <w:lang w:eastAsia="en-US"/>
        </w:rPr>
        <w:t xml:space="preserve">Respondent shall be liable for all its costs and NPC shall not be responsible for any of Respondent's costs, incurred by Respondent to prepare, submit, or negotiate its proposal. </w:t>
      </w:r>
    </w:p>
    <w:p>
      <w:pPr>
        <w:pStyle w:val="Normal"/>
        <w:rPr>
          <w:b/>
          <w:sz w:val="24"/>
        </w:rPr>
      </w:pPr>
      <w:r>
        <w:rPr>
          <w:b/>
          <w:sz w:val="24"/>
        </w:rPr>
        <w:t>DELIVERY POINT(S)</w:t>
      </w:r>
    </w:p>
    <w:p>
      <w:pPr>
        <w:pStyle w:val="Normal"/>
        <w:ind w:hanging="2160" w:start="2160" w:end="0"/>
        <w:rPr>
          <w:b/>
          <w:sz w:val="24"/>
        </w:rPr>
      </w:pPr>
      <w:r>
        <w:rPr>
          <w:b/>
          <w:sz w:val="24"/>
        </w:rPr>
      </w:r>
    </w:p>
    <w:p>
      <w:pPr>
        <w:pStyle w:val="Normal"/>
        <w:rPr>
          <w:sz w:val="24"/>
        </w:rPr>
      </w:pPr>
      <w:r>
        <w:rPr>
          <w:sz w:val="24"/>
        </w:rPr>
        <w:t>NPC may accept some or all of Respondent's Firm Energy at Mead, McCullough, Eldorado, Crystal, Harry Allen, Navajo, El Dorado Merchant Substation or at another mutually acceptable delivery point within the Nevada Power Company transmission system.  (Respondent shall select a delivery point(s) in its proposal.)</w:t>
      </w:r>
      <w:r>
        <w:br w:type="page"/>
      </w:r>
    </w:p>
    <w:p>
      <w:pPr>
        <w:pStyle w:val="Normal"/>
        <w:rPr>
          <w:sz w:val="24"/>
        </w:rPr>
      </w:pPr>
      <w:r>
        <w:rPr>
          <w:sz w:val="24"/>
        </w:rPr>
      </w:r>
    </w:p>
    <w:p>
      <w:pPr>
        <w:pStyle w:val="Normal"/>
        <w:rPr>
          <w:b/>
          <w:sz w:val="24"/>
          <w:lang w:eastAsia="en-US"/>
        </w:rPr>
      </w:pPr>
      <w:r>
        <w:rPr>
          <w:b/>
          <w:sz w:val="24"/>
          <w:lang w:eastAsia="en-US"/>
        </w:rPr>
        <w:t>TRANSMISSION CONSTRAINTS</w:t>
      </w:r>
    </w:p>
    <w:p>
      <w:pPr>
        <w:pStyle w:val="Normal"/>
        <w:rPr>
          <w:b/>
          <w:sz w:val="24"/>
          <w:lang w:eastAsia="en-US"/>
        </w:rPr>
      </w:pPr>
      <w:r>
        <w:rPr>
          <w:b/>
          <w:sz w:val="24"/>
          <w:lang w:eastAsia="en-US"/>
        </w:rPr>
      </w:r>
    </w:p>
    <w:p>
      <w:pPr>
        <w:pStyle w:val="BodyText3"/>
        <w:rPr/>
      </w:pPr>
      <w:r>
        <w:rPr/>
        <w:t xml:space="preserve">The NPC transmission system has several constraints, which may limit the amount of energy that could be transferred from points "upstream" of the constraints and delivered into the NPC load pocket.  Respondent is advised that proposals that split up delivery points or provide delivery out of existing units or planned construction of new units within the NPC load pocket will be given preference. A transmission diagram which identifies NPC's transmission rights and transmission constraints can be reviewed at </w:t>
      </w:r>
      <w:hyperlink r:id="rId4">
        <w:r>
          <w:rPr>
            <w:rStyle w:val="Hyperlink"/>
          </w:rPr>
          <w:t>www.swoasis.com</w:t>
        </w:r>
      </w:hyperlink>
      <w:r>
        <w:rPr/>
        <w:t xml:space="preserve"> (click on "Documents", go to "Intertie and Netloading" and then to "Nevada Power Transmission Rights Diagram").</w:t>
      </w:r>
    </w:p>
    <w:p>
      <w:pPr>
        <w:pStyle w:val="Heading9"/>
        <w:spacing w:before="0" w:after="240"/>
        <w:ind w:hanging="0" w:start="0"/>
        <w:rPr>
          <w:lang w:eastAsia="en-US"/>
        </w:rPr>
      </w:pPr>
      <w:r>
        <w:rPr>
          <w:lang w:eastAsia="en-US"/>
        </w:rPr>
        <w:t>REGULATORY APPROVALS</w:t>
      </w:r>
    </w:p>
    <w:p>
      <w:pPr>
        <w:pStyle w:val="Normal"/>
        <w:spacing w:before="0" w:after="240"/>
        <w:rPr>
          <w:sz w:val="24"/>
          <w:lang w:eastAsia="en-US"/>
        </w:rPr>
      </w:pPr>
      <w:r>
        <w:rPr>
          <w:sz w:val="24"/>
          <w:lang w:eastAsia="en-US"/>
        </w:rPr>
        <w:t>Any contract for the purchase of power between NPC and the Respondent will be filed with the applicable regulatory authorities that have jurisdiction over any or all of the subject matter.</w:t>
      </w:r>
    </w:p>
    <w:p>
      <w:pPr>
        <w:pStyle w:val="Normal"/>
        <w:rPr>
          <w:sz w:val="24"/>
          <w:lang w:eastAsia="en-US"/>
        </w:rPr>
      </w:pPr>
      <w:r>
        <w:rPr>
          <w:sz w:val="24"/>
          <w:lang w:eastAsia="en-US"/>
        </w:rPr>
      </w:r>
    </w:p>
    <w:p>
      <w:pPr>
        <w:pStyle w:val="Heading9"/>
        <w:spacing w:before="0" w:after="120"/>
        <w:ind w:hanging="0" w:start="0"/>
        <w:jc w:val="center"/>
        <w:rPr>
          <w:lang w:eastAsia="en-US"/>
        </w:rPr>
      </w:pPr>
      <w:r>
        <w:rPr>
          <w:lang w:eastAsia="en-US"/>
        </w:rPr>
        <w:t>GENERAL CONTRACT TERMS</w:t>
      </w:r>
    </w:p>
    <w:p>
      <w:pPr>
        <w:pStyle w:val="Normal"/>
        <w:rPr>
          <w:sz w:val="24"/>
          <w:lang w:eastAsia="en-US"/>
        </w:rPr>
      </w:pPr>
      <w:r>
        <w:rPr>
          <w:sz w:val="24"/>
          <w:lang w:eastAsia="en-US"/>
        </w:rPr>
      </w:r>
    </w:p>
    <w:p>
      <w:pPr>
        <w:pStyle w:val="Normal"/>
        <w:spacing w:before="0" w:after="240"/>
        <w:rPr>
          <w:b/>
          <w:sz w:val="24"/>
          <w:lang w:eastAsia="en-US"/>
        </w:rPr>
      </w:pPr>
      <w:r>
        <w:rPr>
          <w:b/>
          <w:sz w:val="24"/>
          <w:lang w:eastAsia="en-US"/>
        </w:rPr>
        <w:t>MINIMUM CREDIT REQUIREMENTS</w:t>
      </w:r>
    </w:p>
    <w:p>
      <w:pPr>
        <w:pStyle w:val="Normal"/>
        <w:spacing w:before="0" w:after="240"/>
        <w:rPr>
          <w:sz w:val="24"/>
          <w:lang w:eastAsia="en-US"/>
        </w:rPr>
      </w:pPr>
      <w:r>
        <w:rPr>
          <w:sz w:val="24"/>
          <w:lang w:eastAsia="en-US"/>
        </w:rPr>
        <w:t>Respondent must possess at time the Agreement is executed and during the period of performance of the Agreement either a senior unsecured debt rating of no less than BBB- from Standard &amp; Poor's or Baa3 from Moody's, possess a minimum tangible net worth (MTNW) of one billion dollars, or be able to provide a guarantee in form and substance equivalent to the above.  If at any time during the term of the Agreement, Respondent's debt rating or MTNW, as applicable, falls below these levels, Respondent must notify NPC and as a condition of further contract performance NPC may require Respondent to provide whatever other form of credit assurance NPC deems necessary.</w:t>
      </w:r>
    </w:p>
    <w:p>
      <w:pPr>
        <w:pStyle w:val="Normal"/>
        <w:spacing w:before="0" w:after="240"/>
        <w:rPr>
          <w:b/>
          <w:sz w:val="24"/>
          <w:lang w:eastAsia="en-US"/>
        </w:rPr>
      </w:pPr>
      <w:r>
        <w:rPr>
          <w:b/>
          <w:sz w:val="24"/>
          <w:lang w:eastAsia="en-US"/>
        </w:rPr>
        <w:t>FORM OF CONTRACT AND FAILURE TO PERFORM</w:t>
      </w:r>
    </w:p>
    <w:p>
      <w:pPr>
        <w:pStyle w:val="Normal"/>
        <w:numPr>
          <w:ilvl w:val="0"/>
          <w:numId w:val="10"/>
        </w:numPr>
        <w:tabs>
          <w:tab w:val="clear" w:pos="720"/>
          <w:tab w:val="left" w:pos="540" w:leader="none"/>
        </w:tabs>
        <w:spacing w:before="0" w:after="240"/>
        <w:ind w:hanging="540" w:start="540" w:end="0"/>
        <w:rPr>
          <w:sz w:val="24"/>
          <w:lang w:eastAsia="en-US"/>
        </w:rPr>
      </w:pPr>
      <w:r>
        <w:rPr>
          <w:sz w:val="24"/>
          <w:lang w:eastAsia="en-US"/>
        </w:rPr>
        <w:t>NPC anticipates negotiating a power purchase agreement based upon WSPP contract terms as may be modified by the terms in this RFP.  Respondent shall include a statement in its proposal that it will accept WSPP contract terms and the contract terms included in this RFP or, if applicable, will identify changes to the terms herein in its proposal.</w:t>
      </w:r>
    </w:p>
    <w:p>
      <w:pPr>
        <w:pStyle w:val="Normal"/>
        <w:numPr>
          <w:ilvl w:val="0"/>
          <w:numId w:val="10"/>
        </w:numPr>
        <w:tabs>
          <w:tab w:val="clear" w:pos="720"/>
          <w:tab w:val="left" w:pos="540" w:leader="none"/>
        </w:tabs>
        <w:spacing w:before="0" w:after="240"/>
        <w:ind w:hanging="540" w:start="540" w:end="0"/>
        <w:rPr>
          <w:b/>
          <w:sz w:val="24"/>
        </w:rPr>
      </w:pPr>
      <w:r>
        <w:rPr>
          <w:sz w:val="24"/>
          <w:lang w:eastAsia="en-US"/>
        </w:rPr>
        <w:t>NPC will rely on power purchased under this RFP to meet the electric needs of its customers.  Should Respondent fail to deliver power to NPC, Respondent shall be liable to NPC for Replacement Costs in an amount equal to 110% of total costs actually incurred by NPC to replace the power.</w:t>
      </w:r>
      <w:r>
        <w:br w:type="page"/>
      </w:r>
    </w:p>
    <w:p>
      <w:pPr>
        <w:pStyle w:val="Normal"/>
        <w:rPr>
          <w:b/>
          <w:sz w:val="24"/>
        </w:rPr>
      </w:pPr>
      <w:r>
        <w:rPr>
          <w:b/>
          <w:sz w:val="24"/>
        </w:rPr>
      </w:r>
    </w:p>
    <w:p>
      <w:pPr>
        <w:pStyle w:val="Normal"/>
        <w:spacing w:before="0" w:after="200"/>
        <w:rPr>
          <w:b/>
          <w:sz w:val="24"/>
        </w:rPr>
      </w:pPr>
      <w:r>
        <w:rPr>
          <w:b/>
          <w:sz w:val="24"/>
        </w:rPr>
        <w:t>GAS INDEX</w:t>
      </w:r>
    </w:p>
    <w:p>
      <w:pPr>
        <w:pStyle w:val="Normal"/>
        <w:rPr>
          <w:b/>
          <w:sz w:val="24"/>
        </w:rPr>
      </w:pPr>
      <w:r>
        <w:rPr>
          <w:sz w:val="24"/>
        </w:rPr>
        <w:t xml:space="preserve">"Natural Gas Intelligence Weekly Gas Price Index" under the heading "Spot Gas Prices" in the section "California: Southern Cal. Border Avg. Bidweek: Avg." </w:t>
      </w:r>
    </w:p>
    <w:p>
      <w:pPr>
        <w:pStyle w:val="Normal"/>
        <w:rPr>
          <w:b/>
          <w:sz w:val="24"/>
        </w:rPr>
      </w:pPr>
      <w:r>
        <w:rPr>
          <w:b/>
          <w:sz w:val="24"/>
        </w:rPr>
      </w:r>
    </w:p>
    <w:p>
      <w:pPr>
        <w:pStyle w:val="Normal"/>
        <w:ind w:hanging="2160" w:start="2160" w:end="0"/>
        <w:rPr>
          <w:sz w:val="24"/>
        </w:rPr>
      </w:pPr>
      <w:r>
        <w:rPr>
          <w:b/>
          <w:sz w:val="24"/>
        </w:rPr>
        <w:t>SCHEDULING</w:t>
      </w:r>
    </w:p>
    <w:p>
      <w:pPr>
        <w:pStyle w:val="Normal"/>
        <w:ind w:hanging="2160" w:start="2160" w:end="0"/>
        <w:rPr>
          <w:sz w:val="24"/>
        </w:rPr>
      </w:pPr>
      <w:r>
        <w:rPr>
          <w:sz w:val="24"/>
        </w:rPr>
      </w:r>
    </w:p>
    <w:p>
      <w:pPr>
        <w:pStyle w:val="Normal"/>
        <w:rPr>
          <w:sz w:val="24"/>
        </w:rPr>
      </w:pPr>
      <w:r>
        <w:rPr>
          <w:sz w:val="24"/>
        </w:rPr>
        <w:t xml:space="preserve">NPC will perform the schedule coordinator functions.  By no later than 6:00 a.m. (P.P.T.) on the business day prior to each delivery day or days, NPC will provide the ISO, RTO, or local control area operator with a balanced schedule.  </w:t>
      </w:r>
    </w:p>
    <w:p>
      <w:pPr>
        <w:pStyle w:val="Normal"/>
        <w:rPr>
          <w:sz w:val="24"/>
        </w:rPr>
      </w:pPr>
      <w:r>
        <w:rPr>
          <w:sz w:val="24"/>
        </w:rPr>
      </w:r>
    </w:p>
    <w:p>
      <w:pPr>
        <w:pStyle w:val="Normal"/>
        <w:rPr>
          <w:b/>
          <w:sz w:val="24"/>
        </w:rPr>
      </w:pPr>
      <w:r>
        <w:rPr>
          <w:b/>
          <w:sz w:val="24"/>
        </w:rPr>
        <w:t>FAILURE TO DELIVER PAYMENT - REPLACEMENT COSTS</w:t>
      </w:r>
    </w:p>
    <w:p>
      <w:pPr>
        <w:pStyle w:val="Normal"/>
        <w:rPr>
          <w:b/>
          <w:sz w:val="24"/>
        </w:rPr>
      </w:pPr>
      <w:r>
        <w:rPr>
          <w:b/>
          <w:sz w:val="24"/>
        </w:rPr>
      </w:r>
    </w:p>
    <w:p>
      <w:pPr>
        <w:pStyle w:val="Heading6"/>
        <w:keepNext w:val="false"/>
        <w:ind w:hanging="0" w:start="0"/>
        <w:rPr/>
      </w:pPr>
      <w:r>
        <w:rPr/>
        <w:t>Respondent will pay to NPC 110% of total incremental costs incurred by NPC to replace the energy not delivered by Respondent, subject to causes of Force Majeure.</w:t>
      </w:r>
    </w:p>
    <w:p>
      <w:pPr>
        <w:pStyle w:val="Normal"/>
        <w:rPr>
          <w:sz w:val="24"/>
        </w:rPr>
      </w:pPr>
      <w:r>
        <w:rPr>
          <w:sz w:val="24"/>
        </w:rPr>
      </w:r>
    </w:p>
    <w:p>
      <w:pPr>
        <w:pStyle w:val="Normal"/>
        <w:rPr>
          <w:b/>
          <w:sz w:val="24"/>
        </w:rPr>
      </w:pPr>
      <w:r>
        <w:rPr>
          <w:b/>
          <w:sz w:val="24"/>
        </w:rPr>
        <w:t>FAILURE TO TAKE PAYMENT</w:t>
      </w:r>
    </w:p>
    <w:p>
      <w:pPr>
        <w:pStyle w:val="Normal"/>
        <w:ind w:hanging="2160" w:start="2160" w:end="0"/>
        <w:rPr>
          <w:b/>
          <w:sz w:val="24"/>
        </w:rPr>
      </w:pPr>
      <w:r>
        <w:rPr>
          <w:b/>
          <w:sz w:val="24"/>
        </w:rPr>
      </w:r>
    </w:p>
    <w:p>
      <w:pPr>
        <w:pStyle w:val="Normal"/>
        <w:ind w:hanging="2160" w:start="2160" w:end="0"/>
        <w:rPr>
          <w:sz w:val="24"/>
        </w:rPr>
      </w:pPr>
      <w:r>
        <w:rPr>
          <w:sz w:val="24"/>
        </w:rPr>
        <w:t xml:space="preserve">NPC shall pay Respondent for energy NPC failed to take, subject to causes of Force Majeure. </w:t>
      </w:r>
    </w:p>
    <w:p>
      <w:pPr>
        <w:pStyle w:val="Normal"/>
        <w:rPr>
          <w:sz w:val="24"/>
        </w:rPr>
      </w:pPr>
      <w:r>
        <w:rPr>
          <w:sz w:val="24"/>
        </w:rPr>
      </w:r>
    </w:p>
    <w:p>
      <w:pPr>
        <w:pStyle w:val="BodyText"/>
        <w:ind w:hanging="2160" w:start="2160" w:end="0"/>
        <w:rPr>
          <w:b/>
          <w:sz w:val="24"/>
        </w:rPr>
      </w:pPr>
      <w:r>
        <w:rPr>
          <w:b/>
          <w:sz w:val="24"/>
        </w:rPr>
        <w:t>TRANSMISSION</w:t>
      </w:r>
    </w:p>
    <w:p>
      <w:pPr>
        <w:pStyle w:val="BodyText"/>
        <w:ind w:hanging="2160" w:start="2160" w:end="0"/>
        <w:rPr>
          <w:b/>
          <w:sz w:val="20"/>
        </w:rPr>
      </w:pPr>
      <w:r>
        <w:rPr>
          <w:b/>
          <w:sz w:val="20"/>
        </w:rPr>
      </w:r>
    </w:p>
    <w:p>
      <w:pPr>
        <w:pStyle w:val="BodyText"/>
        <w:rPr>
          <w:sz w:val="24"/>
        </w:rPr>
      </w:pPr>
      <w:r>
        <w:rPr>
          <w:sz w:val="24"/>
        </w:rPr>
        <w:t>NPC will be responsible for any transmission fees and losses, if any, after receipt by NPC at the Delivery Point(s).</w:t>
      </w:r>
    </w:p>
    <w:p>
      <w:pPr>
        <w:pStyle w:val="BodyText"/>
        <w:ind w:hanging="2160" w:start="2160" w:end="0"/>
        <w:rPr>
          <w:b/>
          <w:sz w:val="24"/>
        </w:rPr>
      </w:pPr>
      <w:r>
        <w:rPr>
          <w:b/>
          <w:sz w:val="24"/>
        </w:rPr>
      </w:r>
    </w:p>
    <w:p>
      <w:pPr>
        <w:pStyle w:val="Outline0021Body"/>
        <w:tabs>
          <w:tab w:val="clear" w:pos="720"/>
          <w:tab w:val="left" w:pos="0" w:leader="none"/>
        </w:tabs>
        <w:rPr>
          <w:b/>
        </w:rPr>
      </w:pPr>
      <w:r>
        <w:rPr>
          <w:b/>
        </w:rPr>
        <w:t>LIMITATION OF LIABILITY</w:t>
      </w:r>
    </w:p>
    <w:p>
      <w:pPr>
        <w:pStyle w:val="Normal"/>
        <w:tabs>
          <w:tab w:val="left" w:pos="720" w:leader="none"/>
          <w:tab w:val="left" w:pos="1440" w:leader="none"/>
          <w:tab w:val="left" w:pos="2430" w:leader="none"/>
        </w:tabs>
        <w:jc w:val="both"/>
        <w:rPr>
          <w:b/>
          <w:sz w:val="24"/>
        </w:rPr>
      </w:pPr>
      <w:r>
        <w:rPr>
          <w:b/>
          <w:sz w:val="24"/>
        </w:rPr>
      </w:r>
    </w:p>
    <w:p>
      <w:pPr>
        <w:pStyle w:val="Outline0022"/>
        <w:numPr>
          <w:ilvl w:val="0"/>
          <w:numId w:val="9"/>
        </w:numPr>
        <w:tabs>
          <w:tab w:val="clear" w:pos="0"/>
          <w:tab w:val="left" w:pos="1440" w:leader="none"/>
        </w:tabs>
        <w:jc w:val="start"/>
        <w:rPr/>
      </w:pPr>
      <w:r>
        <w:rPr>
          <w:u w:val="single"/>
        </w:rPr>
        <w:t>Responsibility for Damages</w:t>
      </w:r>
      <w:r>
        <w:rPr/>
        <w:t>:  Except as otherwise provided herein or to the extent of the other Party’s negligence or willful misconduct, each Party shall be responsible for all physical damage to or destruction of the property, equipment and/or facilities owned by it and its affiliates and any physical injury or death to natural Persons resulting therefrom, regardless of who brings the claim and regardless of who caused the damage, and shall not seek recovery or reimbursement from the other Party for such damage; provided, that in any such case the Parties will exercise due diligence to remove the cause of any disability at the earliest practicable time.</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9"/>
        </w:numPr>
        <w:tabs>
          <w:tab w:val="clear" w:pos="0"/>
          <w:tab w:val="left" w:pos="1440" w:leader="none"/>
        </w:tabs>
        <w:jc w:val="start"/>
        <w:rPr/>
      </w:pPr>
      <w:r>
        <w:rPr>
          <w:u w:val="single"/>
        </w:rPr>
        <w:t>No Consequential Damages</w:t>
      </w:r>
      <w:r>
        <w:rPr/>
        <w:t>:  To the fullest extent permitted by law and notwithstanding other provisions of the Agreement, in no event shall a Party, or any of its agents, be liable to the other Party, whether in contract, warranty, tort, negligence, strict liability, or otherwise, for special, indirect, incidental, multiple, consequential (including but not limited to lost profits or revenues and lost business opportunities), or punitive damages related to or resulting from performance or nonperformance of the Agreement or any activity associated with or arising out of the Agreement.  For purposes of clarification, Replacement Costs shall not be considered consequential or incidental damages.  In addition, this limitation on liability shall not apply with respect to claims of indemnification by third parties.</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15"/>
        </w:numPr>
        <w:tabs>
          <w:tab w:val="clear" w:pos="0"/>
          <w:tab w:val="left" w:pos="1440" w:leader="none"/>
        </w:tabs>
        <w:jc w:val="start"/>
        <w:rPr/>
      </w:pPr>
      <w:r>
        <w:rPr>
          <w:u w:val="single"/>
        </w:rPr>
        <w:t>Survival</w:t>
      </w:r>
      <w:r>
        <w:rPr/>
        <w:t>:  The provisions of this clause shall survive any termination, cancellation, or suspension of the Agreement.</w:t>
      </w:r>
    </w:p>
    <w:p>
      <w:pPr>
        <w:pStyle w:val="Normal"/>
        <w:tabs>
          <w:tab w:val="left" w:pos="720" w:leader="none"/>
          <w:tab w:val="left" w:pos="1440" w:leader="none"/>
          <w:tab w:val="left" w:pos="2430" w:leader="none"/>
        </w:tabs>
        <w:jc w:val="both"/>
        <w:rPr>
          <w:sz w:val="24"/>
        </w:rPr>
      </w:pPr>
      <w:r>
        <w:rPr>
          <w:sz w:val="24"/>
        </w:rPr>
      </w:r>
    </w:p>
    <w:p>
      <w:pPr>
        <w:pStyle w:val="Outline0021Body"/>
        <w:tabs>
          <w:tab w:val="clear" w:pos="720"/>
          <w:tab w:val="left" w:pos="0" w:leader="none"/>
        </w:tabs>
        <w:rPr>
          <w:b/>
        </w:rPr>
      </w:pPr>
      <w:r>
        <w:rPr>
          <w:b/>
        </w:rPr>
        <w:t>FORCE MAJEURE</w:t>
      </w:r>
    </w:p>
    <w:p>
      <w:pPr>
        <w:pStyle w:val="Normal"/>
        <w:tabs>
          <w:tab w:val="left" w:pos="720" w:leader="none"/>
          <w:tab w:val="left" w:pos="1440" w:leader="none"/>
          <w:tab w:val="left" w:pos="2430" w:leader="none"/>
        </w:tabs>
        <w:jc w:val="both"/>
        <w:rPr>
          <w:b/>
          <w:sz w:val="24"/>
        </w:rPr>
      </w:pPr>
      <w:r>
        <w:rPr>
          <w:b/>
          <w:sz w:val="24"/>
        </w:rPr>
      </w:r>
    </w:p>
    <w:p>
      <w:pPr>
        <w:pStyle w:val="Outline0022"/>
        <w:numPr>
          <w:ilvl w:val="0"/>
          <w:numId w:val="6"/>
        </w:numPr>
        <w:tabs>
          <w:tab w:val="clear" w:pos="0"/>
        </w:tabs>
        <w:jc w:val="start"/>
        <w:rPr/>
      </w:pPr>
      <w:r>
        <w:rPr/>
        <w:t>An event of “Force Majeure” shall be defined as any interruption or failure of service or deficiency in the quality or quantity of service or any other failure to perform any of its obligations hereunder to the extent such failure occurs without fault or negligence on the part of that Party and is caused by factors beyond that Party’s reasonable control, which by the exercise of reasonable diligence that Party is unable to prevent, avoid, mitigate or overcome, including:</w:t>
      </w:r>
    </w:p>
    <w:p>
      <w:pPr>
        <w:pStyle w:val="Normal"/>
        <w:tabs>
          <w:tab w:val="left" w:pos="720" w:leader="none"/>
          <w:tab w:val="left" w:pos="1440" w:leader="none"/>
          <w:tab w:val="left" w:pos="2430" w:leader="none"/>
        </w:tabs>
        <w:jc w:val="both"/>
        <w:rPr>
          <w:sz w:val="24"/>
        </w:rPr>
      </w:pPr>
      <w:r>
        <w:rPr>
          <w:sz w:val="24"/>
        </w:rPr>
      </w:r>
    </w:p>
    <w:p>
      <w:pPr>
        <w:pStyle w:val="Normal"/>
        <w:numPr>
          <w:ilvl w:val="0"/>
          <w:numId w:val="16"/>
        </w:numPr>
        <w:tabs>
          <w:tab w:val="clear" w:pos="720"/>
          <w:tab w:val="left" w:pos="1440" w:leader="none"/>
          <w:tab w:val="left" w:pos="2160" w:leader="none"/>
        </w:tabs>
        <w:rPr>
          <w:sz w:val="24"/>
        </w:rPr>
      </w:pPr>
      <w:r>
        <w:rPr>
          <w:sz w:val="24"/>
        </w:rPr>
        <w:t xml:space="preserve">acts of God or the public enemy, such as storms, flood, lightning, and earthquakes, </w:t>
      </w:r>
    </w:p>
    <w:p>
      <w:pPr>
        <w:pStyle w:val="Normal"/>
        <w:tabs>
          <w:tab w:val="left" w:pos="720" w:leader="none"/>
          <w:tab w:val="left" w:pos="1440" w:leader="none"/>
          <w:tab w:val="left" w:pos="2430" w:leader="none"/>
        </w:tabs>
        <w:jc w:val="both"/>
        <w:rPr>
          <w:sz w:val="24"/>
        </w:rPr>
      </w:pPr>
      <w:r>
        <w:rPr>
          <w:sz w:val="24"/>
        </w:rPr>
      </w:r>
    </w:p>
    <w:p>
      <w:pPr>
        <w:pStyle w:val="Normal"/>
        <w:numPr>
          <w:ilvl w:val="0"/>
          <w:numId w:val="16"/>
        </w:numPr>
        <w:tabs>
          <w:tab w:val="clear" w:pos="720"/>
          <w:tab w:val="left" w:pos="1440" w:leader="none"/>
          <w:tab w:val="left" w:pos="2160" w:leader="none"/>
        </w:tabs>
        <w:rPr>
          <w:sz w:val="24"/>
        </w:rPr>
      </w:pPr>
      <w:r>
        <w:rPr>
          <w:sz w:val="24"/>
        </w:rPr>
        <w:t>failure, threat of failure, or unscheduled withdrawal of facilities from operation for maintenance or repair, and including unscheduled transmission and distribution outages,</w:t>
      </w:r>
    </w:p>
    <w:p>
      <w:pPr>
        <w:pStyle w:val="Normal"/>
        <w:tabs>
          <w:tab w:val="left" w:pos="720" w:leader="none"/>
          <w:tab w:val="left" w:pos="1440" w:leader="none"/>
          <w:tab w:val="left" w:pos="2160" w:leader="none"/>
        </w:tabs>
        <w:ind w:hanging="720" w:start="2160" w:end="0"/>
        <w:jc w:val="both"/>
        <w:rPr>
          <w:sz w:val="24"/>
        </w:rPr>
      </w:pPr>
      <w:r>
        <w:rPr>
          <w:sz w:val="24"/>
        </w:rPr>
      </w:r>
    </w:p>
    <w:p>
      <w:pPr>
        <w:pStyle w:val="Normal"/>
        <w:numPr>
          <w:ilvl w:val="0"/>
          <w:numId w:val="16"/>
        </w:numPr>
        <w:tabs>
          <w:tab w:val="clear" w:pos="720"/>
          <w:tab w:val="left" w:pos="1440" w:leader="none"/>
          <w:tab w:val="left" w:pos="2160" w:leader="none"/>
        </w:tabs>
        <w:jc w:val="both"/>
        <w:rPr>
          <w:sz w:val="24"/>
        </w:rPr>
      </w:pPr>
      <w:r>
        <w:rPr>
          <w:sz w:val="24"/>
        </w:rPr>
        <w:t xml:space="preserve">sabotage of facilities and equipment, </w:t>
      </w:r>
    </w:p>
    <w:p>
      <w:pPr>
        <w:pStyle w:val="Normal"/>
        <w:tabs>
          <w:tab w:val="clear" w:pos="720"/>
          <w:tab w:val="left" w:pos="1440" w:leader="none"/>
          <w:tab w:val="left" w:pos="2160" w:leader="none"/>
        </w:tabs>
        <w:ind w:hanging="720" w:start="2160" w:end="0"/>
        <w:jc w:val="both"/>
        <w:rPr>
          <w:sz w:val="24"/>
        </w:rPr>
      </w:pPr>
      <w:r>
        <w:rPr>
          <w:sz w:val="24"/>
        </w:rPr>
      </w:r>
    </w:p>
    <w:p>
      <w:pPr>
        <w:pStyle w:val="Normal"/>
        <w:numPr>
          <w:ilvl w:val="0"/>
          <w:numId w:val="16"/>
        </w:numPr>
        <w:tabs>
          <w:tab w:val="clear" w:pos="720"/>
          <w:tab w:val="left" w:pos="1440" w:leader="none"/>
          <w:tab w:val="left" w:pos="2160" w:leader="none"/>
        </w:tabs>
        <w:jc w:val="both"/>
        <w:rPr>
          <w:sz w:val="24"/>
        </w:rPr>
      </w:pPr>
      <w:r>
        <w:rPr>
          <w:sz w:val="24"/>
        </w:rPr>
        <w:t xml:space="preserve">civil disturbance, </w:t>
      </w:r>
    </w:p>
    <w:p>
      <w:pPr>
        <w:pStyle w:val="Normal"/>
        <w:tabs>
          <w:tab w:val="left" w:pos="720" w:leader="none"/>
          <w:tab w:val="left" w:pos="1440" w:leader="none"/>
          <w:tab w:val="left" w:pos="2160" w:leader="none"/>
        </w:tabs>
        <w:ind w:hanging="720" w:start="2160" w:end="0"/>
        <w:jc w:val="both"/>
        <w:rPr>
          <w:sz w:val="24"/>
        </w:rPr>
      </w:pPr>
      <w:r>
        <w:rPr>
          <w:sz w:val="24"/>
        </w:rPr>
      </w:r>
    </w:p>
    <w:p>
      <w:pPr>
        <w:pStyle w:val="Normal"/>
        <w:numPr>
          <w:ilvl w:val="0"/>
          <w:numId w:val="16"/>
        </w:numPr>
        <w:tabs>
          <w:tab w:val="clear" w:pos="720"/>
          <w:tab w:val="left" w:pos="1440" w:leader="none"/>
          <w:tab w:val="left" w:pos="2160" w:leader="none"/>
        </w:tabs>
        <w:jc w:val="both"/>
        <w:rPr>
          <w:sz w:val="24"/>
        </w:rPr>
      </w:pPr>
      <w:r>
        <w:rPr>
          <w:sz w:val="24"/>
        </w:rPr>
        <w:t xml:space="preserve">strike or labor dispute, </w:t>
      </w:r>
    </w:p>
    <w:p>
      <w:pPr>
        <w:pStyle w:val="Normal"/>
        <w:tabs>
          <w:tab w:val="clear" w:pos="720"/>
          <w:tab w:val="left" w:pos="1440" w:leader="none"/>
          <w:tab w:val="left" w:pos="2160" w:leader="none"/>
        </w:tabs>
        <w:ind w:hanging="720" w:start="2160" w:end="0"/>
        <w:jc w:val="both"/>
        <w:rPr>
          <w:sz w:val="24"/>
        </w:rPr>
      </w:pPr>
      <w:r>
        <w:rPr>
          <w:sz w:val="24"/>
        </w:rPr>
      </w:r>
    </w:p>
    <w:p>
      <w:pPr>
        <w:pStyle w:val="Normal"/>
        <w:numPr>
          <w:ilvl w:val="0"/>
          <w:numId w:val="16"/>
        </w:numPr>
        <w:tabs>
          <w:tab w:val="clear" w:pos="720"/>
          <w:tab w:val="left" w:pos="1440" w:leader="none"/>
          <w:tab w:val="left" w:pos="2160" w:leader="none"/>
        </w:tabs>
        <w:jc w:val="both"/>
        <w:rPr>
          <w:sz w:val="24"/>
        </w:rPr>
      </w:pPr>
      <w:r>
        <w:rPr>
          <w:sz w:val="24"/>
        </w:rPr>
        <w:t>action or inaction of a court or public authority, or</w:t>
      </w:r>
    </w:p>
    <w:p>
      <w:pPr>
        <w:pStyle w:val="Normal"/>
        <w:tabs>
          <w:tab w:val="clear" w:pos="720"/>
          <w:tab w:val="left" w:pos="1440" w:leader="none"/>
          <w:tab w:val="left" w:pos="2430" w:leader="none"/>
        </w:tabs>
        <w:jc w:val="both"/>
        <w:rPr>
          <w:sz w:val="24"/>
        </w:rPr>
      </w:pPr>
      <w:r>
        <w:rPr>
          <w:sz w:val="24"/>
        </w:rPr>
      </w:r>
    </w:p>
    <w:p>
      <w:pPr>
        <w:pStyle w:val="Normal"/>
        <w:numPr>
          <w:ilvl w:val="0"/>
          <w:numId w:val="16"/>
        </w:numPr>
        <w:tabs>
          <w:tab w:val="clear" w:pos="720"/>
          <w:tab w:val="left" w:pos="1440" w:leader="none"/>
          <w:tab w:val="left" w:pos="2160" w:leader="none"/>
        </w:tabs>
        <w:jc w:val="both"/>
        <w:rPr>
          <w:sz w:val="24"/>
        </w:rPr>
      </w:pPr>
      <w:r>
        <w:rPr>
          <w:sz w:val="24"/>
        </w:rPr>
        <w:t>any other cause of similar nature beyond the reasonable control of that Party.</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19"/>
        </w:numPr>
        <w:tabs>
          <w:tab w:val="clear" w:pos="0"/>
        </w:tabs>
        <w:jc w:val="start"/>
        <w:rPr/>
      </w:pPr>
      <w:r>
        <w:rPr/>
        <w:t>Economic hardship of either Party shall not constitute Force Majeure under the Agreement.  Notwithstanding this, if NPC suffers an event of Force Majeure it shall be relieved of its obligation to take delivery of, or otherwise pay for the Energy under the Agreement for the duration of the event of Force Majeure.  In addition, if NPC is unable to have Energy delivered from the Point(s) of Delivery to its service territory due to an outage on the Transmission System, that shall be considered a Force Majeure event and shall relieve NPC of performance for the extent of the event.</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19"/>
        </w:numPr>
        <w:tabs>
          <w:tab w:val="clear" w:pos="0"/>
        </w:tabs>
        <w:jc w:val="start"/>
        <w:rPr/>
      </w:pPr>
      <w:r>
        <w:rPr/>
        <w:t>In the event of a Force Majeure, neither Party shall be considered in default under the Agreement or responsible to the other Party in tort, strict liability, contract or other legal theory for damages of any description, and affected performance obligations shall be extended by a period equal to the term of the resultant delay, but in no event shall exceed the term of the Agreement, provided that the Party relying on a claim of Force Majeure:</w:t>
      </w:r>
    </w:p>
    <w:p>
      <w:pPr>
        <w:pStyle w:val="Normal"/>
        <w:tabs>
          <w:tab w:val="left" w:pos="720" w:leader="none"/>
          <w:tab w:val="left" w:pos="1440" w:leader="none"/>
          <w:tab w:val="left" w:pos="2430" w:leader="none"/>
        </w:tabs>
        <w:jc w:val="both"/>
        <w:rPr>
          <w:sz w:val="24"/>
        </w:rPr>
      </w:pPr>
      <w:r>
        <w:rPr>
          <w:sz w:val="24"/>
        </w:rPr>
      </w:r>
    </w:p>
    <w:p>
      <w:pPr>
        <w:pStyle w:val="Normal"/>
        <w:numPr>
          <w:ilvl w:val="0"/>
          <w:numId w:val="12"/>
        </w:numPr>
        <w:tabs>
          <w:tab w:val="clear" w:pos="720"/>
          <w:tab w:val="left" w:pos="1440" w:leader="none"/>
          <w:tab w:val="left" w:pos="2160" w:leader="none"/>
        </w:tabs>
        <w:rPr>
          <w:sz w:val="24"/>
        </w:rPr>
      </w:pPr>
      <w:r>
        <w:rPr>
          <w:sz w:val="24"/>
        </w:rPr>
        <w:t xml:space="preserve">provides prompt written notice of such Force Majeure event to the other Party, giving an estimate of its expected duration and the probable impact on the performance of its obligations hereunder; </w:t>
      </w:r>
    </w:p>
    <w:p>
      <w:pPr>
        <w:pStyle w:val="Normal"/>
        <w:tabs>
          <w:tab w:val="clear" w:pos="720"/>
          <w:tab w:val="left" w:pos="1440" w:leader="none"/>
          <w:tab w:val="left" w:pos="2160" w:leader="none"/>
        </w:tabs>
        <w:ind w:hanging="720" w:start="2160" w:end="0"/>
        <w:jc w:val="both"/>
        <w:rPr>
          <w:sz w:val="24"/>
        </w:rPr>
      </w:pPr>
      <w:r>
        <w:rPr>
          <w:sz w:val="24"/>
        </w:rPr>
      </w:r>
    </w:p>
    <w:p>
      <w:pPr>
        <w:pStyle w:val="Normal"/>
        <w:numPr>
          <w:ilvl w:val="0"/>
          <w:numId w:val="3"/>
        </w:numPr>
        <w:tabs>
          <w:tab w:val="clear" w:pos="720"/>
          <w:tab w:val="left" w:pos="1440" w:leader="none"/>
          <w:tab w:val="left" w:pos="2160" w:leader="none"/>
        </w:tabs>
        <w:rPr>
          <w:sz w:val="24"/>
        </w:rPr>
      </w:pPr>
      <w:r>
        <w:rPr>
          <w:sz w:val="24"/>
        </w:rPr>
        <w:t xml:space="preserve">exercises all reasonable efforts to continue to perform its obligations under the Agreement; </w:t>
      </w:r>
    </w:p>
    <w:p>
      <w:pPr>
        <w:pStyle w:val="Normal"/>
        <w:tabs>
          <w:tab w:val="clear" w:pos="720"/>
          <w:tab w:val="left" w:pos="1440" w:leader="none"/>
          <w:tab w:val="left" w:pos="2160" w:leader="none"/>
        </w:tabs>
        <w:ind w:hanging="720" w:start="2160" w:end="0"/>
        <w:jc w:val="both"/>
        <w:rPr>
          <w:sz w:val="24"/>
        </w:rPr>
      </w:pPr>
      <w:r>
        <w:rPr>
          <w:sz w:val="24"/>
        </w:rPr>
      </w:r>
    </w:p>
    <w:p>
      <w:pPr>
        <w:pStyle w:val="Normal"/>
        <w:numPr>
          <w:ilvl w:val="0"/>
          <w:numId w:val="14"/>
        </w:numPr>
        <w:tabs>
          <w:tab w:val="clear" w:pos="720"/>
          <w:tab w:val="left" w:pos="1440" w:leader="none"/>
          <w:tab w:val="left" w:pos="2160" w:leader="none"/>
        </w:tabs>
        <w:rPr>
          <w:sz w:val="24"/>
        </w:rPr>
      </w:pPr>
      <w:r>
        <w:rPr>
          <w:sz w:val="24"/>
        </w:rPr>
        <w:t xml:space="preserve">expeditiously takes action to correct or cure the event or condition excusing performance so that the suspension of performance is no greater in scope and no longer in duration than is dictated by the problem; provided, however, that settlement of strikes or other labor disputes will be completely within the sole discretion of the Party affected by such strike or labor dispute; </w:t>
      </w:r>
    </w:p>
    <w:p>
      <w:pPr>
        <w:pStyle w:val="Normal"/>
        <w:tabs>
          <w:tab w:val="clear" w:pos="720"/>
          <w:tab w:val="left" w:pos="1440" w:leader="none"/>
          <w:tab w:val="left" w:pos="2430" w:leader="none"/>
        </w:tabs>
        <w:jc w:val="both"/>
        <w:rPr>
          <w:sz w:val="24"/>
        </w:rPr>
      </w:pPr>
      <w:r>
        <w:rPr>
          <w:sz w:val="24"/>
        </w:rPr>
      </w:r>
    </w:p>
    <w:p>
      <w:pPr>
        <w:pStyle w:val="Normal"/>
        <w:numPr>
          <w:ilvl w:val="0"/>
          <w:numId w:val="14"/>
        </w:numPr>
        <w:tabs>
          <w:tab w:val="clear" w:pos="720"/>
          <w:tab w:val="left" w:pos="1440" w:leader="none"/>
          <w:tab w:val="left" w:pos="2160" w:leader="none"/>
        </w:tabs>
        <w:rPr>
          <w:sz w:val="24"/>
        </w:rPr>
      </w:pPr>
      <w:r>
        <w:rPr>
          <w:sz w:val="24"/>
        </w:rPr>
        <w:t xml:space="preserve">exercises all reasonable efforts to mitigate or limit damages to the other Party; and </w:t>
      </w:r>
    </w:p>
    <w:p>
      <w:pPr>
        <w:pStyle w:val="Normal"/>
        <w:tabs>
          <w:tab w:val="left" w:pos="720" w:leader="none"/>
          <w:tab w:val="left" w:pos="1440" w:leader="none"/>
          <w:tab w:val="left" w:pos="2160" w:leader="none"/>
        </w:tabs>
        <w:ind w:hanging="720" w:start="2160" w:end="0"/>
        <w:jc w:val="both"/>
        <w:rPr>
          <w:sz w:val="24"/>
        </w:rPr>
      </w:pPr>
      <w:r>
        <w:rPr>
          <w:sz w:val="24"/>
        </w:rPr>
      </w:r>
    </w:p>
    <w:p>
      <w:pPr>
        <w:pStyle w:val="Normal"/>
        <w:numPr>
          <w:ilvl w:val="0"/>
          <w:numId w:val="14"/>
        </w:numPr>
        <w:tabs>
          <w:tab w:val="clear" w:pos="720"/>
          <w:tab w:val="left" w:pos="1440" w:leader="none"/>
          <w:tab w:val="left" w:pos="2160" w:leader="none"/>
        </w:tabs>
        <w:rPr>
          <w:sz w:val="24"/>
        </w:rPr>
      </w:pPr>
      <w:r>
        <w:rPr>
          <w:sz w:val="24"/>
        </w:rPr>
        <w:t xml:space="preserve">provides prompt notice to the other Party of the cessation of the event or condition giving rise to its excuse from performance. </w:t>
      </w:r>
    </w:p>
    <w:p>
      <w:pPr>
        <w:pStyle w:val="Normal"/>
        <w:tabs>
          <w:tab w:val="left" w:pos="720" w:leader="none"/>
          <w:tab w:val="left" w:pos="1440" w:leader="none"/>
          <w:tab w:val="left" w:pos="2430" w:leader="none"/>
        </w:tabs>
        <w:jc w:val="both"/>
        <w:rPr>
          <w:sz w:val="24"/>
        </w:rPr>
      </w:pPr>
      <w:r>
        <w:rPr>
          <w:sz w:val="24"/>
        </w:rPr>
      </w:r>
    </w:p>
    <w:p>
      <w:pPr>
        <w:pStyle w:val="Outline0021Body"/>
        <w:tabs>
          <w:tab w:val="clear" w:pos="720"/>
          <w:tab w:val="left" w:pos="0" w:leader="none"/>
        </w:tabs>
        <w:rPr>
          <w:b/>
        </w:rPr>
      </w:pPr>
      <w:r>
        <w:rPr>
          <w:b/>
        </w:rPr>
        <w:t>DISPUTES</w:t>
      </w:r>
    </w:p>
    <w:p>
      <w:pPr>
        <w:pStyle w:val="Normal"/>
        <w:tabs>
          <w:tab w:val="left" w:pos="720" w:leader="none"/>
          <w:tab w:val="left" w:pos="1440" w:leader="none"/>
          <w:tab w:val="left" w:pos="2430" w:leader="none"/>
        </w:tabs>
        <w:jc w:val="both"/>
        <w:rPr>
          <w:b/>
          <w:sz w:val="24"/>
        </w:rPr>
      </w:pPr>
      <w:r>
        <w:rPr>
          <w:b/>
          <w:sz w:val="24"/>
        </w:rPr>
      </w:r>
    </w:p>
    <w:p>
      <w:pPr>
        <w:pStyle w:val="Outline0022"/>
        <w:numPr>
          <w:ilvl w:val="0"/>
          <w:numId w:val="13"/>
        </w:numPr>
        <w:tabs>
          <w:tab w:val="clear" w:pos="0"/>
        </w:tabs>
        <w:jc w:val="start"/>
        <w:rPr/>
      </w:pPr>
      <w:r>
        <w:rPr/>
        <w:t xml:space="preserve">Any action, claim or dispute which either Party may have against the other arising out of or relating to the Agreement or the transactions contemplated hereunder, or the breach, termination or validity thereof (any such claim or dispute, a “Dispute”) shall be submitted in writing to the other Party.  The written submission of any Dispute shall include a concise statement of the question or issue in dispute together with a statement listing the relevant facts and documentation that support the claim. </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13"/>
        </w:numPr>
        <w:tabs>
          <w:tab w:val="clear" w:pos="0"/>
        </w:tabs>
        <w:jc w:val="start"/>
        <w:rPr/>
      </w:pPr>
      <w:r>
        <w:rPr/>
        <w:t xml:space="preserve">The Parties agree to cooperate in good faith to expedite the resolution of any Dispute.  Pending resolution of a Dispute, the Parties shall proceed diligently with the performance of their obligations under the Agreement.  </w:t>
      </w:r>
    </w:p>
    <w:p>
      <w:pPr>
        <w:pStyle w:val="Normal"/>
        <w:tabs>
          <w:tab w:val="left" w:pos="720" w:leader="none"/>
          <w:tab w:val="left" w:pos="1440" w:leader="none"/>
          <w:tab w:val="left" w:pos="2430" w:leader="none"/>
        </w:tabs>
        <w:ind w:hanging="720" w:start="1440" w:end="0"/>
        <w:jc w:val="both"/>
        <w:rPr>
          <w:sz w:val="24"/>
        </w:rPr>
      </w:pPr>
      <w:r>
        <w:rPr>
          <w:sz w:val="24"/>
        </w:rPr>
      </w:r>
    </w:p>
    <w:p>
      <w:pPr>
        <w:pStyle w:val="Outline0022"/>
        <w:numPr>
          <w:ilvl w:val="0"/>
          <w:numId w:val="13"/>
        </w:numPr>
        <w:tabs>
          <w:tab w:val="clear" w:pos="0"/>
        </w:tabs>
        <w:jc w:val="start"/>
        <w:rPr/>
      </w:pPr>
      <w:r>
        <w:rPr/>
        <w:t>The Parties shall first attempt in good faith to resolve any Dispute through informal negotiations.  In the event that the Parties are unable to satisfactorily resolve the Dispute within thirty (30) days from the receipt of notice of the Dispute, either Party may by written notice to the other Party refer the Dispute to its respective senior management for resolution as promptly as practicable.  If the Parties’ senior management are unable to resolve the Dispute within thirty (30) days from the date of such referral, either Party may initiate arbitration through the serving and filing of a demand for arbitration and the Parties expressly agree that arbitration in accordance with the Agreement shall be the exclusive means to further resolve any Dispute and hereby irrevocably waive their right to any trial with respect to any Dispute, provided that at any time:</w:t>
      </w:r>
    </w:p>
    <w:p>
      <w:pPr>
        <w:pStyle w:val="Normal"/>
        <w:tabs>
          <w:tab w:val="left" w:pos="720" w:leader="none"/>
          <w:tab w:val="left" w:pos="1440" w:leader="none"/>
          <w:tab w:val="left" w:pos="2430" w:leader="none"/>
        </w:tabs>
        <w:jc w:val="both"/>
        <w:rPr>
          <w:sz w:val="24"/>
        </w:rPr>
      </w:pPr>
      <w:r>
        <w:rPr>
          <w:sz w:val="24"/>
        </w:rPr>
      </w:r>
    </w:p>
    <w:p>
      <w:pPr>
        <w:pStyle w:val="Normal"/>
        <w:numPr>
          <w:ilvl w:val="0"/>
          <w:numId w:val="4"/>
        </w:numPr>
        <w:tabs>
          <w:tab w:val="clear" w:pos="720"/>
          <w:tab w:val="left" w:pos="2160" w:leader="none"/>
        </w:tabs>
        <w:rPr>
          <w:sz w:val="24"/>
        </w:rPr>
      </w:pPr>
      <w:r>
        <w:rPr>
          <w:sz w:val="24"/>
        </w:rPr>
        <w:t>A request made by a Party for provisional remedies requesting preservation of the Parties’ respective rights and obligations under the Agreement may be resolved by a court of law located in Clark County, Nevada.</w:t>
      </w:r>
    </w:p>
    <w:p>
      <w:pPr>
        <w:pStyle w:val="Normal"/>
        <w:tabs>
          <w:tab w:val="left" w:pos="720" w:leader="none"/>
          <w:tab w:val="left" w:pos="2160" w:leader="none"/>
          <w:tab w:val="left" w:pos="2430" w:leader="none"/>
        </w:tabs>
        <w:ind w:hanging="720" w:start="2160" w:end="0"/>
        <w:jc w:val="both"/>
        <w:rPr>
          <w:sz w:val="24"/>
        </w:rPr>
      </w:pPr>
      <w:r>
        <w:rPr>
          <w:sz w:val="24"/>
        </w:rPr>
      </w:r>
    </w:p>
    <w:p>
      <w:pPr>
        <w:pStyle w:val="Outline0023"/>
        <w:numPr>
          <w:ilvl w:val="0"/>
          <w:numId w:val="4"/>
        </w:numPr>
        <w:tabs>
          <w:tab w:val="clear" w:pos="0"/>
          <w:tab w:val="clear" w:pos="1440"/>
        </w:tabs>
        <w:jc w:val="start"/>
        <w:rPr/>
      </w:pPr>
      <w:r>
        <w:rPr/>
        <w:t>Nothing in the Agreement shall preclude, or be construed to preclude, any Party from filing a petition or complaint with the FERC or PUCN with respect to any arbitrable Dispute over which said agency has jurisdiction.  In such case, the other Party may request the FERC or PUCN, as applicable, to reject or to waive jurisdiction.  If jurisdiction is rejected or waived with respect to all or a portion of the Dispute, the portion of the Dispute not so accepted by the FERC or PUCN, as applicable, shall be resolved through arbitration in accordance with the Agreement.  To the extent that the FERC or PUCN, as applicable, asserts or accepts jurisdiction over the Dispute, the decision, finding of fact or order of FERC or PUCN shall be final and binding, subject to judicial review under the Federal Power Act or Nevada Revised Statutes.  Any arbitration proceedings that may have commenced with respect to the Dispute prior to the assertion or acceptance of jurisdiction by the FERC or PUCN, as applicable, shall be terminated to the extent the FERC or PUCN accepts or asserts jurisdiction over such Dispute.</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5"/>
        </w:numPr>
        <w:jc w:val="start"/>
        <w:rPr/>
      </w:pPr>
      <w:r>
        <w:rPr/>
        <w:t>Unless otherwise agreed by the Parties, any arbitration initiated under the Agreement shall be conducted in accordance with the following:</w:t>
      </w:r>
    </w:p>
    <w:p>
      <w:pPr>
        <w:pStyle w:val="Normal"/>
        <w:tabs>
          <w:tab w:val="left" w:pos="720" w:leader="none"/>
          <w:tab w:val="left" w:pos="1440" w:leader="none"/>
          <w:tab w:val="left" w:pos="2430" w:leader="none"/>
        </w:tabs>
        <w:jc w:val="both"/>
        <w:rPr>
          <w:sz w:val="24"/>
        </w:rPr>
      </w:pPr>
      <w:r>
        <w:rPr>
          <w:sz w:val="24"/>
        </w:rPr>
      </w:r>
    </w:p>
    <w:p>
      <w:pPr>
        <w:pStyle w:val="Outline0023"/>
        <w:numPr>
          <w:ilvl w:val="0"/>
          <w:numId w:val="2"/>
        </w:numPr>
        <w:tabs>
          <w:tab w:val="clear" w:pos="1440"/>
          <w:tab w:val="left" w:pos="0" w:leader="none"/>
          <w:tab w:val="left" w:pos="2160" w:leader="none"/>
        </w:tabs>
        <w:jc w:val="start"/>
        <w:rPr/>
      </w:pPr>
      <w:r>
        <w:rPr/>
        <w:t>Arbitrations shall be held within Clark County, Nevada.</w:t>
      </w:r>
    </w:p>
    <w:p>
      <w:pPr>
        <w:pStyle w:val="Normal"/>
        <w:tabs>
          <w:tab w:val="left" w:pos="720" w:leader="none"/>
          <w:tab w:val="left" w:pos="1440" w:leader="none"/>
          <w:tab w:val="left" w:pos="2430" w:leader="none"/>
        </w:tabs>
        <w:jc w:val="both"/>
        <w:rPr>
          <w:sz w:val="24"/>
        </w:rPr>
      </w:pPr>
      <w:r>
        <w:rPr>
          <w:sz w:val="24"/>
        </w:rPr>
      </w:r>
    </w:p>
    <w:p>
      <w:pPr>
        <w:pStyle w:val="Outline0023"/>
        <w:numPr>
          <w:ilvl w:val="0"/>
          <w:numId w:val="2"/>
        </w:numPr>
        <w:tabs>
          <w:tab w:val="clear" w:pos="1440"/>
          <w:tab w:val="left" w:pos="0" w:leader="none"/>
          <w:tab w:val="left" w:pos="1080" w:leader="none"/>
        </w:tabs>
        <w:jc w:val="start"/>
        <w:rPr/>
      </w:pPr>
      <w:r>
        <w:rPr/>
        <w:t>Except as otherwise modified herein, the arbitration shall be conducted in accordance with the “Commercial Arbitration Rules” of the American Arbitration Association (“AAA”) then in effect.</w:t>
      </w:r>
    </w:p>
    <w:p>
      <w:pPr>
        <w:pStyle w:val="Normal"/>
        <w:tabs>
          <w:tab w:val="left" w:pos="720" w:leader="none"/>
          <w:tab w:val="left" w:pos="2160" w:leader="none"/>
          <w:tab w:val="left" w:pos="2430" w:leader="none"/>
        </w:tabs>
        <w:ind w:hanging="720" w:start="2160" w:end="0"/>
        <w:jc w:val="both"/>
        <w:rPr>
          <w:sz w:val="24"/>
        </w:rPr>
      </w:pPr>
      <w:r>
        <w:rPr>
          <w:sz w:val="24"/>
        </w:rPr>
      </w:r>
    </w:p>
    <w:p>
      <w:pPr>
        <w:pStyle w:val="Outline0023"/>
        <w:numPr>
          <w:ilvl w:val="0"/>
          <w:numId w:val="2"/>
        </w:numPr>
        <w:tabs>
          <w:tab w:val="clear" w:pos="0"/>
          <w:tab w:val="clear" w:pos="1440"/>
        </w:tabs>
        <w:jc w:val="start"/>
        <w:rPr/>
      </w:pPr>
      <w:r>
        <w:rPr/>
        <w:t>Arbitration shall be conducted by one neutral arbitrator who shall be selected pursuant to the AAA rules and the following:</w:t>
      </w:r>
    </w:p>
    <w:p>
      <w:pPr>
        <w:pStyle w:val="Normal"/>
        <w:tabs>
          <w:tab w:val="left" w:pos="720" w:leader="none"/>
          <w:tab w:val="left" w:pos="1440" w:leader="none"/>
          <w:tab w:val="left" w:pos="2430" w:leader="none"/>
        </w:tabs>
        <w:jc w:val="both"/>
        <w:rPr>
          <w:sz w:val="24"/>
        </w:rPr>
      </w:pPr>
      <w:r>
        <w:rPr>
          <w:sz w:val="24"/>
        </w:rPr>
      </w:r>
    </w:p>
    <w:p>
      <w:pPr>
        <w:pStyle w:val="Outline0024"/>
        <w:numPr>
          <w:ilvl w:val="0"/>
          <w:numId w:val="18"/>
        </w:numPr>
        <w:tabs>
          <w:tab w:val="clear" w:pos="0"/>
          <w:tab w:val="clear" w:pos="1440"/>
          <w:tab w:val="clear" w:pos="2430"/>
          <w:tab w:val="left" w:pos="1620" w:leader="none"/>
          <w:tab w:val="left" w:pos="2880" w:leader="none"/>
        </w:tabs>
        <w:ind w:hanging="540" w:start="1620" w:end="0"/>
        <w:jc w:val="start"/>
        <w:rPr/>
      </w:pPr>
      <w:r>
        <w:rPr/>
        <w:t>The Parties agree that the list of potential arbitrators provided by the AAA shall, if available, contain twenty (20) candidates, and at least fifty percent (50%) of the candidates shall be members of the AAA National Energy Panel.</w:t>
      </w:r>
    </w:p>
    <w:p>
      <w:pPr>
        <w:pStyle w:val="Normal"/>
        <w:tabs>
          <w:tab w:val="clear" w:pos="720"/>
          <w:tab w:val="left" w:pos="1440" w:leader="none"/>
          <w:tab w:val="left" w:pos="1620" w:leader="none"/>
          <w:tab w:val="left" w:pos="2430" w:leader="none"/>
        </w:tabs>
        <w:ind w:hanging="540" w:start="1620" w:end="0"/>
        <w:jc w:val="both"/>
        <w:rPr>
          <w:sz w:val="24"/>
        </w:rPr>
      </w:pPr>
      <w:r>
        <w:rPr>
          <w:sz w:val="24"/>
        </w:rPr>
      </w:r>
    </w:p>
    <w:p>
      <w:pPr>
        <w:pStyle w:val="Outline0024"/>
        <w:numPr>
          <w:ilvl w:val="0"/>
          <w:numId w:val="18"/>
        </w:numPr>
        <w:tabs>
          <w:tab w:val="clear" w:pos="0"/>
          <w:tab w:val="clear" w:pos="1440"/>
          <w:tab w:val="clear" w:pos="2430"/>
          <w:tab w:val="left" w:pos="1620" w:leader="none"/>
          <w:tab w:val="left" w:pos="2880" w:leader="none"/>
        </w:tabs>
        <w:ind w:hanging="540" w:start="1620" w:end="0"/>
        <w:jc w:val="start"/>
        <w:rPr/>
      </w:pPr>
      <w:r>
        <w:rPr/>
        <w:t>The Parties also agree that each shall be allowed to strike the names of five candidates before ranking the remaining candidates and returning the list to the AAA in accordance with the Commercial Arbitration Rules.  If the Parties are unable to agree on an arbitrator, such arbitrator shall be appointed by the AAA.</w:t>
      </w:r>
    </w:p>
    <w:p>
      <w:pPr>
        <w:pStyle w:val="Outline0024"/>
        <w:tabs>
          <w:tab w:val="clear" w:pos="0"/>
          <w:tab w:val="clear" w:pos="1440"/>
          <w:tab w:val="clear" w:pos="2430"/>
          <w:tab w:val="left" w:pos="1620" w:leader="none"/>
          <w:tab w:val="left" w:pos="2880" w:leader="none"/>
          <w:tab w:val="left" w:pos="3240" w:leader="none"/>
        </w:tabs>
        <w:ind w:hanging="540" w:start="1620" w:end="0"/>
        <w:rPr/>
      </w:pPr>
      <w:r>
        <w:rPr/>
      </w:r>
    </w:p>
    <w:p>
      <w:pPr>
        <w:pStyle w:val="Outline0024"/>
        <w:numPr>
          <w:ilvl w:val="0"/>
          <w:numId w:val="18"/>
        </w:numPr>
        <w:tabs>
          <w:tab w:val="clear" w:pos="0"/>
          <w:tab w:val="clear" w:pos="1440"/>
          <w:tab w:val="clear" w:pos="2430"/>
          <w:tab w:val="left" w:pos="1620" w:leader="none"/>
          <w:tab w:val="left" w:pos="2880" w:leader="none"/>
        </w:tabs>
        <w:ind w:hanging="540" w:start="1620" w:end="0"/>
        <w:jc w:val="start"/>
        <w:rPr/>
      </w:pPr>
      <w:r>
        <w:rPr/>
        <w:t>The arbitrator shall not have any current or past substantial business, financial, or personal relationships with either Party (or their Affiliates) and shall not be a past or present vendor, supplier, customer, employee, consultant, or competitor to either of the Parties or their Affiliates.</w:t>
      </w:r>
    </w:p>
    <w:p>
      <w:pPr>
        <w:pStyle w:val="Normal"/>
        <w:tabs>
          <w:tab w:val="clear" w:pos="720"/>
          <w:tab w:val="left" w:pos="1620" w:leader="none"/>
          <w:tab w:val="left" w:pos="2880" w:leader="none"/>
          <w:tab w:val="left" w:pos="3240" w:leader="none"/>
        </w:tabs>
        <w:ind w:hanging="540" w:start="1620" w:end="0"/>
        <w:jc w:val="both"/>
        <w:rPr>
          <w:sz w:val="24"/>
        </w:rPr>
      </w:pPr>
      <w:r>
        <w:rPr>
          <w:sz w:val="24"/>
        </w:rPr>
      </w:r>
    </w:p>
    <w:p>
      <w:pPr>
        <w:pStyle w:val="Outline0024"/>
        <w:numPr>
          <w:ilvl w:val="0"/>
          <w:numId w:val="18"/>
        </w:numPr>
        <w:tabs>
          <w:tab w:val="clear" w:pos="0"/>
          <w:tab w:val="clear" w:pos="1440"/>
          <w:tab w:val="clear" w:pos="2430"/>
          <w:tab w:val="left" w:pos="1620" w:leader="none"/>
          <w:tab w:val="left" w:pos="2880" w:leader="none"/>
        </w:tabs>
        <w:ind w:hanging="540" w:start="1620" w:end="0"/>
        <w:jc w:val="start"/>
        <w:rPr/>
      </w:pPr>
      <w:r>
        <w:rPr/>
        <w:t>The arbitrator shall be authorized only to interpret and apply the provisions of the Agreement and shall have no power to modify or change any provision of the Agreement.  The arbitrator shall have no authority to award punitive or multiple damages or any damages inconsistent with the Agreement.  The arbitrator shall within thirty (30) days of the conclusion of the hearing, unless such time is extended by agreement of the Parties, notify the Parties in writing of his or her decision, stating his or her reasons for such decision and separately listing his or her findings of fact and conclusions of law.  Judgment on the award may be entered in any court having jurisdiction.</w:t>
      </w:r>
    </w:p>
    <w:p>
      <w:pPr>
        <w:pStyle w:val="Normal"/>
        <w:tabs>
          <w:tab w:val="left" w:pos="720" w:leader="none"/>
          <w:tab w:val="left" w:pos="1440" w:leader="none"/>
          <w:tab w:val="left" w:pos="2430" w:leader="none"/>
        </w:tabs>
        <w:jc w:val="both"/>
        <w:rPr>
          <w:sz w:val="24"/>
        </w:rPr>
      </w:pPr>
      <w:r>
        <w:rPr>
          <w:sz w:val="24"/>
        </w:rPr>
      </w:r>
    </w:p>
    <w:p>
      <w:pPr>
        <w:pStyle w:val="Outline0022"/>
        <w:numPr>
          <w:ilvl w:val="0"/>
          <w:numId w:val="8"/>
        </w:numPr>
        <w:jc w:val="start"/>
        <w:rPr/>
      </w:pPr>
      <w:r>
        <w:rPr/>
        <w:t>The Parties shall proceed with the arbitration expeditiously, and the arbitration shall be concluded within five (5) months of the filing of the demand for arbitration in order that the decision may be rendered within six (6) months of such filing, unless the arbitrator extends such time at the request of a Party upon a showing of good cause or upon agreement of the Parties.</w:t>
      </w:r>
    </w:p>
    <w:p>
      <w:pPr>
        <w:pStyle w:val="Outline0022"/>
        <w:rPr/>
      </w:pPr>
      <w:r>
        <w:rPr/>
      </w:r>
    </w:p>
    <w:p>
      <w:pPr>
        <w:pStyle w:val="Outline0022"/>
        <w:numPr>
          <w:ilvl w:val="0"/>
          <w:numId w:val="8"/>
        </w:numPr>
        <w:jc w:val="start"/>
        <w:rPr/>
      </w:pPr>
      <w:r>
        <w:rPr/>
        <w:t>Any arbitration proceedings, decision or award rendered hereunder and the validity, effect and interpretation of any arbitration agreement shall be governed by the Federal Arbitration Act of the United States, 9 U.S.C. §§ 1 et seq.</w:t>
      </w:r>
    </w:p>
    <w:p>
      <w:pPr>
        <w:pStyle w:val="Outline0022"/>
        <w:rPr/>
      </w:pPr>
      <w:r>
        <w:rPr/>
      </w:r>
    </w:p>
    <w:p>
      <w:pPr>
        <w:pStyle w:val="Outline0022"/>
        <w:numPr>
          <w:ilvl w:val="0"/>
          <w:numId w:val="8"/>
        </w:numPr>
        <w:jc w:val="start"/>
        <w:rPr/>
      </w:pPr>
      <w:r>
        <w:rPr/>
        <w:t>The decision of the arbitrator shall be final and binding on both Parties and may be enforced in any court having jurisdiction over the Party against which enforcement is sought.</w:t>
      </w:r>
    </w:p>
    <w:p>
      <w:pPr>
        <w:pStyle w:val="Normal"/>
        <w:tabs>
          <w:tab w:val="left" w:pos="720" w:leader="none"/>
          <w:tab w:val="left" w:pos="1440" w:leader="none"/>
          <w:tab w:val="left" w:pos="2430" w:leader="none"/>
        </w:tabs>
        <w:ind w:hanging="720" w:start="1440" w:end="0"/>
        <w:jc w:val="both"/>
        <w:rPr>
          <w:sz w:val="24"/>
        </w:rPr>
      </w:pPr>
      <w:r>
        <w:rPr>
          <w:sz w:val="24"/>
        </w:rPr>
      </w:r>
    </w:p>
    <w:p>
      <w:pPr>
        <w:pStyle w:val="Outline0022"/>
        <w:numPr>
          <w:ilvl w:val="0"/>
          <w:numId w:val="8"/>
        </w:numPr>
        <w:jc w:val="start"/>
        <w:rPr/>
      </w:pPr>
      <w:r>
        <w:rPr/>
        <w:t>The fees and expenses of the arbitrator shall be shared by the Parties equally, unless the decision of the arbitrator shall specify some other apportionment of such fees and expenses.  All other expenses and costs of the arbitration shall be borne by the Party incurring the same.</w:t>
      </w:r>
    </w:p>
    <w:p>
      <w:pPr>
        <w:pStyle w:val="Normal"/>
        <w:ind w:hanging="2160" w:start="2160" w:end="0"/>
        <w:rPr>
          <w:sz w:val="24"/>
        </w:rPr>
      </w:pPr>
      <w:r>
        <w:rPr>
          <w:sz w:val="24"/>
        </w:rPr>
      </w:r>
    </w:p>
    <w:p>
      <w:pPr>
        <w:pStyle w:val="Normal"/>
        <w:ind w:hanging="2160" w:start="2160" w:end="0"/>
        <w:rPr/>
      </w:pPr>
      <w:r>
        <w:rPr>
          <w:b/>
          <w:sz w:val="24"/>
        </w:rPr>
        <w:t>CHOICE OF LAW</w:t>
      </w:r>
      <w:r>
        <w:rPr>
          <w:sz w:val="24"/>
        </w:rPr>
        <w:tab/>
      </w:r>
    </w:p>
    <w:p>
      <w:pPr>
        <w:pStyle w:val="Normal"/>
        <w:ind w:hanging="2160" w:start="2160" w:end="0"/>
        <w:rPr>
          <w:sz w:val="24"/>
        </w:rPr>
      </w:pPr>
      <w:r>
        <w:rPr>
          <w:sz w:val="24"/>
        </w:rPr>
      </w:r>
    </w:p>
    <w:p>
      <w:pPr>
        <w:pStyle w:val="Normal"/>
        <w:rPr>
          <w:sz w:val="24"/>
        </w:rPr>
      </w:pPr>
      <w:r>
        <w:rPr>
          <w:sz w:val="24"/>
        </w:rPr>
        <w:t>The Agreement and the rights and obligations of the Parties shall be construed and governed by the Laws of:  (i) the State of Nevada as if executed and performed wholly within that state; and (ii) the Federal Power Act, to the extent the rights and obligations of the Parties are covered by such act.</w:t>
      </w:r>
    </w:p>
    <w:p>
      <w:pPr>
        <w:sectPr>
          <w:headerReference w:type="default" r:id="rId5"/>
          <w:footerReference w:type="default" r:id="rId6"/>
          <w:type w:val="nextPage"/>
          <w:pgSz w:w="12240" w:h="15840"/>
          <w:pgMar w:left="1440" w:right="1440" w:gutter="0" w:header="720" w:top="1152" w:footer="720" w:bottom="1152"/>
          <w:pgNumType w:fmt="decimal"/>
          <w:formProt w:val="false"/>
          <w:textDirection w:val="lrTb"/>
          <w:docGrid w:type="default" w:linePitch="360" w:charSpace="0"/>
        </w:sectPr>
        <w:pStyle w:val="Normal"/>
        <w:spacing w:before="0" w:after="240"/>
        <w:ind w:hanging="2160" w:start="2160" w:end="0"/>
        <w:rPr>
          <w:sz w:val="24"/>
        </w:rPr>
      </w:pPr>
      <w:r>
        <w:rPr>
          <w:sz w:val="24"/>
        </w:rPr>
      </w:r>
    </w:p>
    <w:p>
      <w:pPr>
        <w:pStyle w:val="Normal"/>
        <w:rPr>
          <w:b/>
        </w:rPr>
      </w:pPr>
      <w:r>
        <w:rPr>
          <w:b/>
        </w:rPr>
      </w:r>
    </w:p>
    <w:p>
      <w:pPr>
        <w:pStyle w:val="BodyText2"/>
        <w:jc w:val="center"/>
        <w:rPr>
          <w:sz w:val="24"/>
        </w:rPr>
      </w:pPr>
      <w:r>
        <w:rPr>
          <w:sz w:val="24"/>
        </w:rPr>
        <w:t>ATTACHMENT 1</w:t>
      </w:r>
    </w:p>
    <w:p>
      <w:pPr>
        <w:pStyle w:val="BodyText2"/>
        <w:jc w:val="center"/>
        <w:rPr>
          <w:sz w:val="24"/>
        </w:rPr>
      </w:pPr>
      <w:r>
        <w:rPr>
          <w:sz w:val="24"/>
        </w:rPr>
        <w:t>PROPOSAL SUMMARY FORM</w:t>
      </w:r>
    </w:p>
    <w:p>
      <w:pPr>
        <w:pStyle w:val="Normal"/>
        <w:jc w:val="center"/>
        <w:rPr>
          <w:b/>
          <w:sz w:val="24"/>
        </w:rPr>
      </w:pPr>
      <w:r>
        <w:rPr>
          <w:b/>
          <w:sz w:val="24"/>
        </w:rPr>
      </w:r>
    </w:p>
    <w:p>
      <w:pPr>
        <w:pStyle w:val="Normal"/>
        <w:rPr>
          <w:b/>
        </w:rPr>
      </w:pPr>
      <w:r>
        <w:rPr>
          <w:b/>
        </w:rPr>
      </w:r>
    </w:p>
    <w:p>
      <w:pPr>
        <w:pStyle w:val="Normal"/>
        <w:ind w:hanging="2160" w:start="2160" w:end="0"/>
        <w:rPr/>
      </w:pPr>
      <w:r>
        <w:rPr>
          <w:b/>
          <w:sz w:val="24"/>
        </w:rPr>
        <w:t>BUYER:</w:t>
      </w:r>
      <w:r>
        <w:rPr>
          <w:sz w:val="24"/>
        </w:rPr>
        <w:tab/>
        <w:t xml:space="preserve">Nevada Power Company </w:t>
      </w:r>
    </w:p>
    <w:p>
      <w:pPr>
        <w:pStyle w:val="Normal"/>
        <w:rPr>
          <w:sz w:val="24"/>
        </w:rPr>
      </w:pPr>
      <w:r>
        <w:rPr>
          <w:sz w:val="24"/>
        </w:rPr>
      </w:r>
    </w:p>
    <w:p>
      <w:pPr>
        <w:pStyle w:val="Normal"/>
        <w:rPr/>
      </w:pPr>
      <w:r>
        <w:rPr>
          <w:b/>
          <w:sz w:val="24"/>
        </w:rPr>
        <w:t>RESPONDENT:</w:t>
      </w:r>
      <w:r>
        <w:rPr>
          <w:sz w:val="24"/>
        </w:rPr>
        <w:tab/>
        <w:tab/>
        <w:t xml:space="preserve"> </w:t>
      </w:r>
    </w:p>
    <w:p>
      <w:pPr>
        <w:pStyle w:val="Normal"/>
        <w:rPr>
          <w:sz w:val="24"/>
        </w:rPr>
      </w:pPr>
      <w:r>
        <w:rPr>
          <w:sz w:val="24"/>
        </w:rPr>
        <w:tab/>
      </w:r>
    </w:p>
    <w:p>
      <w:pPr>
        <w:pStyle w:val="Heading7"/>
        <w:rPr/>
      </w:pPr>
      <w:r>
        <w:rPr/>
        <w:t xml:space="preserve">CONTRACT </w:t>
      </w:r>
    </w:p>
    <w:p>
      <w:pPr>
        <w:pStyle w:val="Normal"/>
        <w:ind w:hanging="2160" w:start="2160" w:end="0"/>
        <w:rPr/>
      </w:pPr>
      <w:r>
        <w:rPr>
          <w:b/>
          <w:sz w:val="24"/>
        </w:rPr>
        <w:t>TERM</w:t>
      </w:r>
      <w:r>
        <w:rPr>
          <w:sz w:val="24"/>
        </w:rPr>
        <w:t>:</w:t>
        <w:tab/>
        <w:t xml:space="preserve">April 1, 2001 – December 31, 2010 </w:t>
      </w:r>
    </w:p>
    <w:p>
      <w:pPr>
        <w:pStyle w:val="Normal"/>
        <w:rPr>
          <w:b/>
          <w:sz w:val="24"/>
        </w:rPr>
      </w:pPr>
      <w:r>
        <w:rPr>
          <w:b/>
          <w:sz w:val="24"/>
        </w:rPr>
      </w:r>
    </w:p>
    <w:p>
      <w:pPr>
        <w:pStyle w:val="Normal"/>
        <w:ind w:hanging="2160" w:start="2160" w:end="0"/>
        <w:rPr/>
      </w:pPr>
      <w:r>
        <w:rPr>
          <w:b/>
          <w:sz w:val="24"/>
        </w:rPr>
        <w:t>PRODUCT:</w:t>
      </w:r>
      <w:r>
        <w:rPr>
          <w:sz w:val="24"/>
        </w:rPr>
        <w:tab/>
        <w:t>Respondent will deliver Firm Energy to NPC and NPC will take Firm Energy from Respondent during the hours defined below.</w:t>
      </w:r>
    </w:p>
    <w:p>
      <w:pPr>
        <w:pStyle w:val="Normal"/>
        <w:rPr>
          <w:sz w:val="24"/>
        </w:rPr>
      </w:pPr>
      <w:r>
        <w:rPr>
          <w:sz w:val="24"/>
        </w:rPr>
      </w:r>
    </w:p>
    <w:p>
      <w:pPr>
        <w:pStyle w:val="Heading9"/>
        <w:ind w:hanging="0" w:start="0"/>
        <w:rPr/>
      </w:pPr>
      <w:r>
        <w:rPr/>
        <w:t xml:space="preserve">CONTRACT </w:t>
      </w:r>
    </w:p>
    <w:p>
      <w:pPr>
        <w:pStyle w:val="Normal"/>
        <w:ind w:hanging="2160" w:start="2160" w:end="0"/>
        <w:rPr/>
      </w:pPr>
      <w:r>
        <w:rPr>
          <w:b/>
          <w:sz w:val="24"/>
        </w:rPr>
        <w:t>QUANTITY:</w:t>
      </w:r>
      <w:r>
        <w:rPr>
          <w:sz w:val="24"/>
        </w:rPr>
        <w:tab/>
        <w:t>Respondent will deliver the following contract quantities to the delivery point during the term of the Agreement:</w:t>
      </w:r>
    </w:p>
    <w:p>
      <w:pPr>
        <w:pStyle w:val="Normal"/>
        <w:spacing w:before="0" w:after="120"/>
        <w:ind w:hanging="2160" w:start="2160" w:end="0"/>
        <w:rPr>
          <w:sz w:val="24"/>
        </w:rPr>
      </w:pPr>
      <w:r>
        <w:rPr>
          <w:sz w:val="24"/>
        </w:rPr>
        <w:tab/>
      </w:r>
    </w:p>
    <w:tbl>
      <w:tblPr>
        <w:tblW w:w="5130" w:type="dxa"/>
        <w:jc w:val="start"/>
        <w:tblInd w:w="2190" w:type="dxa"/>
        <w:tblLayout w:type="fixed"/>
        <w:tblCellMar>
          <w:top w:w="0" w:type="dxa"/>
          <w:start w:w="30" w:type="dxa"/>
          <w:bottom w:w="0" w:type="dxa"/>
          <w:end w:w="30" w:type="dxa"/>
        </w:tblCellMar>
      </w:tblPr>
      <w:tblGrid>
        <w:gridCol w:w="1152"/>
        <w:gridCol w:w="1010"/>
        <w:gridCol w:w="1011"/>
        <w:gridCol w:w="1010"/>
        <w:gridCol w:w="94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397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 (MW)</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94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2004-2010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500</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500</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500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450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750</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750</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750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775</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1000</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1000</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1000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275</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500</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500</w:t>
            </w:r>
          </w:p>
        </w:tc>
        <w:tc>
          <w:tcPr>
            <w:tcW w:w="94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500</w:t>
            </w:r>
          </w:p>
        </w:tc>
      </w:tr>
    </w:tbl>
    <w:p>
      <w:pPr>
        <w:pStyle w:val="BodyTextIndent3"/>
        <w:spacing w:before="0" w:after="120"/>
        <w:ind w:hanging="2160" w:end="0"/>
        <w:rPr/>
      </w:pPr>
      <w:r>
        <w:rPr>
          <w:b/>
        </w:rPr>
        <w:tab/>
      </w:r>
      <w:r>
        <w:rPr>
          <w:sz w:val="20"/>
        </w:rPr>
        <w:t xml:space="preserve"> </w:t>
      </w:r>
    </w:p>
    <w:p>
      <w:pPr>
        <w:pStyle w:val="Normal"/>
        <w:ind w:hanging="2160" w:start="2160" w:end="0"/>
        <w:rPr>
          <w:b/>
          <w:sz w:val="24"/>
        </w:rPr>
      </w:pPr>
      <w:r>
        <w:rPr>
          <w:b/>
          <w:sz w:val="24"/>
        </w:rPr>
        <w:t>DELIVERY</w:t>
      </w:r>
    </w:p>
    <w:p>
      <w:pPr>
        <w:pStyle w:val="Normal"/>
        <w:ind w:hanging="2160" w:start="2160" w:end="0"/>
        <w:rPr/>
      </w:pPr>
      <w:r>
        <w:rPr>
          <w:b/>
          <w:sz w:val="24"/>
        </w:rPr>
        <w:t>PROFILE:</w:t>
      </w:r>
      <w:r>
        <w:rPr>
          <w:sz w:val="24"/>
        </w:rPr>
        <w:tab/>
        <w:t>The following delivery profiles will be applicable during the term of the Agreement:</w:t>
      </w:r>
    </w:p>
    <w:p>
      <w:pPr>
        <w:pStyle w:val="Normal"/>
        <w:spacing w:before="0" w:after="120"/>
        <w:ind w:hanging="2160" w:start="2160" w:end="0"/>
        <w:rPr>
          <w:sz w:val="24"/>
        </w:rPr>
      </w:pPr>
      <w:r>
        <w:rPr>
          <w:sz w:val="24"/>
        </w:rPr>
        <w:tab/>
      </w:r>
    </w:p>
    <w:tbl>
      <w:tblPr>
        <w:tblW w:w="5580" w:type="dxa"/>
        <w:jc w:val="start"/>
        <w:tblInd w:w="2190" w:type="dxa"/>
        <w:tblLayout w:type="fixed"/>
        <w:tblCellMar>
          <w:top w:w="0" w:type="dxa"/>
          <w:start w:w="30" w:type="dxa"/>
          <w:bottom w:w="0" w:type="dxa"/>
          <w:end w:w="30" w:type="dxa"/>
        </w:tblCellMar>
      </w:tblPr>
      <w:tblGrid>
        <w:gridCol w:w="1152"/>
        <w:gridCol w:w="1010"/>
        <w:gridCol w:w="1011"/>
        <w:gridCol w:w="1010"/>
        <w:gridCol w:w="1397"/>
      </w:tblGrid>
      <w:tr>
        <w:trPr>
          <w:trHeight w:val="262" w:hRule="atLeast"/>
        </w:trPr>
        <w:tc>
          <w:tcPr>
            <w:tcW w:w="1152" w:type="dxa"/>
            <w:tcBorders>
              <w:top w:val="single" w:sz="6" w:space="0" w:color="000000"/>
              <w:start w:val="single" w:sz="6" w:space="0" w:color="000000"/>
              <w:bottom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4428" w:type="dxa"/>
            <w:gridSpan w:val="4"/>
            <w:tcBorders>
              <w:top w:val="single" w:sz="4" w:space="0" w:color="000000"/>
              <w:start w:val="single" w:sz="4" w:space="0" w:color="000000"/>
              <w:bottom w:val="single" w:sz="4" w:space="0" w:color="000000"/>
            </w:tcBorders>
          </w:tcPr>
          <w:p>
            <w:pPr>
              <w:pStyle w:val="Normal"/>
              <w:jc w:val="center"/>
              <w:rPr>
                <w:rFonts w:ascii="Arial" w:hAnsi="Arial" w:cs="Arial"/>
                <w:b/>
                <w:color w:val="000000"/>
                <w:lang w:eastAsia="en-US"/>
              </w:rPr>
            </w:pPr>
            <w:r>
              <w:rPr>
                <w:rFonts w:cs="Arial" w:ascii="Arial" w:hAnsi="Arial"/>
                <w:b/>
                <w:color w:val="000000"/>
                <w:lang w:eastAsia="en-US"/>
              </w:rPr>
              <w:t>Delivery Profile</w:t>
            </w:r>
          </w:p>
        </w:tc>
        <w:tc>
          <w:tcPr>
            <w:tcW w:w="0" w:type="dxa"/>
            <w:vMerge w:val="continue"/>
            <w:tcBorders>
              <w:top w:val="single" w:sz="4" w:space="0" w:color="000000"/>
              <w:bottom w:val="single" w:sz="4" w:space="0" w:color="000000"/>
              <w:end w:val="single" w:sz="4"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19"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2001</w:t>
            </w:r>
          </w:p>
        </w:tc>
        <w:tc>
          <w:tcPr>
            <w:tcW w:w="1011"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2002</w:t>
            </w:r>
          </w:p>
        </w:tc>
        <w:tc>
          <w:tcPr>
            <w:tcW w:w="1010"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2003</w:t>
            </w:r>
          </w:p>
        </w:tc>
        <w:tc>
          <w:tcPr>
            <w:tcW w:w="1397" w:type="dxa"/>
            <w:tcBorders>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2004 - 2010</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1</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n/a</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HLH</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c>
          <w:tcPr>
            <w:tcW w:w="1397"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AH</w:t>
            </w:r>
          </w:p>
        </w:tc>
      </w:tr>
    </w:tbl>
    <w:p>
      <w:pPr>
        <w:pStyle w:val="BodyTextIndent3"/>
        <w:ind w:start="0" w:end="0"/>
        <w:rPr/>
      </w:pPr>
      <w:r>
        <w:rPr/>
      </w:r>
    </w:p>
    <w:p>
      <w:pPr>
        <w:pStyle w:val="BodyTextIndent3"/>
        <w:spacing w:before="0" w:after="240"/>
        <w:rPr/>
      </w:pPr>
      <w:r>
        <w:rPr/>
        <w:t>HLH – Monday through Saturday, hours ending 7 through 22 inclusive, excluding NERC holidays.</w:t>
      </w:r>
    </w:p>
    <w:p>
      <w:pPr>
        <w:pStyle w:val="BodyTextIndent3"/>
        <w:spacing w:before="0" w:after="240"/>
        <w:rPr/>
      </w:pPr>
      <w:r>
        <w:rPr/>
        <w:t>AH – Monday through Sunday, hours ending 1 through 24 inclusive, including NERC holidays.</w:t>
      </w:r>
    </w:p>
    <w:p>
      <w:pPr>
        <w:pStyle w:val="BodyTextIndent3"/>
        <w:spacing w:before="120" w:after="0"/>
        <w:ind w:hanging="2160" w:end="0"/>
        <w:rPr>
          <w:b/>
        </w:rPr>
      </w:pPr>
      <w:r>
        <w:rPr>
          <w:b/>
        </w:rPr>
        <w:t>RESPONDENT'S</w:t>
      </w:r>
    </w:p>
    <w:p>
      <w:pPr>
        <w:pStyle w:val="BodyTextIndent3"/>
        <w:ind w:hanging="2160" w:end="0"/>
        <w:rPr>
          <w:b/>
        </w:rPr>
      </w:pPr>
      <w:r>
        <w:rPr>
          <w:b/>
        </w:rPr>
        <w:t xml:space="preserve">CHOICE OF </w:t>
      </w:r>
    </w:p>
    <w:p>
      <w:pPr>
        <w:pStyle w:val="BodyTextIndent3"/>
        <w:ind w:hanging="2160" w:end="0"/>
        <w:rPr>
          <w:b/>
        </w:rPr>
      </w:pPr>
      <w:r>
        <w:rPr>
          <w:b/>
        </w:rPr>
        <w:t xml:space="preserve">DELIVERY </w:t>
      </w:r>
    </w:p>
    <w:p>
      <w:pPr>
        <w:pStyle w:val="BodyTextIndent3"/>
        <w:ind w:hanging="2160" w:end="0"/>
        <w:rPr>
          <w:b/>
        </w:rPr>
      </w:pPr>
      <w:r>
        <w:rPr>
          <w:b/>
        </w:rPr>
        <w:t>POINT(S)</w:t>
        <w:tab/>
        <w:t>________________________________________</w:t>
      </w:r>
    </w:p>
    <w:p>
      <w:pPr>
        <w:pStyle w:val="BodyTextIndent3"/>
        <w:ind w:start="0" w:end="0"/>
        <w:rPr>
          <w:b/>
        </w:rPr>
      </w:pPr>
      <w:r>
        <w:rPr>
          <w:b/>
        </w:rPr>
      </w:r>
    </w:p>
    <w:p>
      <w:pPr>
        <w:pStyle w:val="BodyTextIndent3"/>
        <w:ind w:hanging="2160" w:end="0"/>
        <w:rPr>
          <w:b/>
        </w:rPr>
      </w:pPr>
      <w:r>
        <w:rPr>
          <w:b/>
        </w:rPr>
        <w:t>NPC SALE</w:t>
      </w:r>
    </w:p>
    <w:p>
      <w:pPr>
        <w:pStyle w:val="BodyTextIndent3"/>
        <w:ind w:hanging="2160" w:end="0"/>
        <w:rPr/>
      </w:pPr>
      <w:r>
        <w:rPr>
          <w:b/>
        </w:rPr>
        <w:t>TO SELLER:</w:t>
      </w:r>
      <w:r>
        <w:rPr/>
        <w:tab/>
        <w:t xml:space="preserve">NPC will sell to Respondent the following  quantities in the year 2001 delivered at Mead; Monday through Saturday, hours 7-22 inclusive, excluding NERC holidays, at the prices specified below: </w:t>
      </w:r>
    </w:p>
    <w:p>
      <w:pPr>
        <w:pStyle w:val="BodyTextIndent3"/>
        <w:spacing w:before="0" w:after="120"/>
        <w:ind w:hanging="2160" w:end="0"/>
        <w:rPr/>
      </w:pPr>
      <w:r>
        <w:rPr/>
      </w:r>
    </w:p>
    <w:tbl>
      <w:tblPr>
        <w:tblW w:w="3173" w:type="dxa"/>
        <w:jc w:val="start"/>
        <w:tblInd w:w="2190" w:type="dxa"/>
        <w:tblLayout w:type="fixed"/>
        <w:tblCellMar>
          <w:top w:w="0" w:type="dxa"/>
          <w:start w:w="30" w:type="dxa"/>
          <w:bottom w:w="0" w:type="dxa"/>
          <w:end w:w="30" w:type="dxa"/>
        </w:tblCellMar>
      </w:tblPr>
      <w:tblGrid>
        <w:gridCol w:w="1152"/>
        <w:gridCol w:w="1010"/>
        <w:gridCol w:w="1011"/>
      </w:tblGrid>
      <w:tr>
        <w:trPr>
          <w:trHeight w:val="523" w:hRule="atLeast"/>
        </w:trPr>
        <w:tc>
          <w:tcPr>
            <w:tcW w:w="1152"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Volume</w:t>
            </w:r>
          </w:p>
          <w:p>
            <w:pPr>
              <w:pStyle w:val="Normal"/>
              <w:jc w:val="center"/>
              <w:rPr>
                <w:rFonts w:ascii="Arial" w:hAnsi="Arial" w:cs="Arial"/>
                <w:b/>
                <w:color w:val="000000"/>
                <w:lang w:eastAsia="en-US"/>
              </w:rPr>
            </w:pPr>
            <w:r>
              <w:rPr>
                <w:rFonts w:cs="Arial" w:ascii="Arial" w:hAnsi="Arial"/>
                <w:b/>
                <w:color w:val="000000"/>
                <w:lang w:eastAsia="en-US"/>
              </w:rPr>
              <w:t>(MW)</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Price</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2</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450</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$ 350.00 </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3</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775</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$ 350.00 </w:t>
            </w:r>
          </w:p>
        </w:tc>
      </w:tr>
      <w:tr>
        <w:trPr>
          <w:trHeight w:val="262" w:hRule="atLeast"/>
        </w:trPr>
        <w:tc>
          <w:tcPr>
            <w:tcW w:w="1152"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Quarter 4</w:t>
            </w:r>
          </w:p>
        </w:tc>
        <w:tc>
          <w:tcPr>
            <w:tcW w:w="101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275</w:t>
            </w:r>
          </w:p>
        </w:tc>
        <w:tc>
          <w:tcPr>
            <w:tcW w:w="1011"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$ 350.00 </w:t>
            </w:r>
          </w:p>
        </w:tc>
      </w:tr>
    </w:tbl>
    <w:p>
      <w:pPr>
        <w:pStyle w:val="BodyTextIndent3"/>
        <w:spacing w:before="0" w:after="120"/>
        <w:ind w:hanging="2160" w:end="0"/>
        <w:rPr/>
      </w:pPr>
      <w:r>
        <w:rPr/>
      </w:r>
    </w:p>
    <w:p>
      <w:pPr>
        <w:pStyle w:val="Normal"/>
        <w:rPr>
          <w:b/>
          <w:sz w:val="24"/>
        </w:rPr>
      </w:pPr>
      <w:r>
        <w:rPr>
          <w:b/>
          <w:sz w:val="24"/>
        </w:rPr>
        <w:t>CONTRACT</w:t>
      </w:r>
    </w:p>
    <w:p>
      <w:pPr>
        <w:pStyle w:val="Normal"/>
        <w:ind w:hanging="2160" w:start="2160" w:end="0"/>
        <w:rPr/>
      </w:pPr>
      <w:r>
        <w:rPr>
          <w:b/>
          <w:sz w:val="24"/>
        </w:rPr>
        <w:t>PRICE 2001:</w:t>
        <w:tab/>
      </w:r>
      <w:r>
        <w:rPr>
          <w:sz w:val="24"/>
        </w:rPr>
        <w:t>The Contract Price for deliveries made by Respondent to NPC during the period April 1, 2001- December 31, 2001 will be $0.00/MWh.</w:t>
        <w:tab/>
      </w:r>
    </w:p>
    <w:p>
      <w:pPr>
        <w:pStyle w:val="Normal"/>
        <w:ind w:hanging="2160" w:start="2160" w:end="0"/>
        <w:rPr>
          <w:b/>
          <w:sz w:val="24"/>
        </w:rPr>
      </w:pPr>
      <w:r>
        <w:rPr>
          <w:b/>
          <w:sz w:val="24"/>
        </w:rPr>
      </w:r>
    </w:p>
    <w:p>
      <w:pPr>
        <w:pStyle w:val="Normal"/>
        <w:rPr>
          <w:b/>
          <w:sz w:val="24"/>
        </w:rPr>
      </w:pPr>
      <w:r>
        <w:rPr>
          <w:b/>
          <w:sz w:val="24"/>
        </w:rPr>
        <w:t>CONTRACT</w:t>
      </w:r>
    </w:p>
    <w:p>
      <w:pPr>
        <w:pStyle w:val="Normal"/>
        <w:ind w:hanging="2160" w:start="2160" w:end="0"/>
        <w:rPr/>
      </w:pPr>
      <w:r>
        <w:rPr>
          <w:b/>
          <w:sz w:val="24"/>
        </w:rPr>
        <w:t>PRICE 2002-2005:</w:t>
        <w:tab/>
      </w:r>
      <w:r>
        <w:rPr>
          <w:sz w:val="24"/>
        </w:rPr>
        <w:t xml:space="preserve">The Contract Price for deliveries by Respondent to NPC during the period January 1, 2002- December 31, 2005 will be $______/MWh. </w:t>
      </w:r>
    </w:p>
    <w:p>
      <w:pPr>
        <w:pStyle w:val="Normal"/>
        <w:rPr>
          <w:b/>
          <w:sz w:val="24"/>
        </w:rPr>
      </w:pPr>
      <w:r>
        <w:rPr>
          <w:b/>
          <w:sz w:val="24"/>
        </w:rPr>
      </w:r>
    </w:p>
    <w:p>
      <w:pPr>
        <w:pStyle w:val="Normal"/>
        <w:rPr>
          <w:b/>
          <w:sz w:val="24"/>
        </w:rPr>
      </w:pPr>
      <w:r>
        <w:rPr>
          <w:b/>
          <w:sz w:val="24"/>
        </w:rPr>
        <w:t>CONTRACT</w:t>
      </w:r>
    </w:p>
    <w:p>
      <w:pPr>
        <w:pStyle w:val="Normal"/>
        <w:ind w:hanging="2160" w:start="2160" w:end="0"/>
        <w:rPr/>
      </w:pPr>
      <w:r>
        <w:rPr>
          <w:b/>
          <w:sz w:val="24"/>
        </w:rPr>
        <w:t>PRICE 2006-2010:</w:t>
        <w:tab/>
      </w:r>
      <w:r>
        <w:rPr>
          <w:sz w:val="24"/>
        </w:rPr>
        <w:t xml:space="preserve">The Contract Price for deliveries by Respondent to NPC during the period 2006-2010 is defined as the sum of the Base Charge and the Fuel Charge. </w:t>
      </w:r>
    </w:p>
    <w:p>
      <w:pPr>
        <w:pStyle w:val="Normal"/>
        <w:rPr>
          <w:sz w:val="24"/>
        </w:rPr>
      </w:pPr>
      <w:r>
        <w:rPr>
          <w:sz w:val="24"/>
        </w:rPr>
        <w:tab/>
        <w:tab/>
        <w:tab/>
        <w:tab/>
        <w:tab/>
        <w:t xml:space="preserve"> </w:t>
      </w:r>
    </w:p>
    <w:p>
      <w:pPr>
        <w:pStyle w:val="Normal"/>
        <w:rPr>
          <w:b/>
          <w:sz w:val="24"/>
        </w:rPr>
      </w:pPr>
      <w:r>
        <w:rPr>
          <w:b/>
          <w:sz w:val="24"/>
        </w:rPr>
        <w:t xml:space="preserve">BASE </w:t>
      </w:r>
    </w:p>
    <w:p>
      <w:pPr>
        <w:pStyle w:val="Normal"/>
        <w:ind w:hanging="2160" w:start="2160" w:end="0"/>
        <w:rPr/>
      </w:pPr>
      <w:r>
        <w:rPr>
          <w:b/>
          <w:sz w:val="24"/>
        </w:rPr>
        <w:t>CHARGE:</w:t>
      </w:r>
      <w:r>
        <w:rPr>
          <w:sz w:val="24"/>
        </w:rPr>
        <w:tab/>
        <w:t>NPC shall pay to Respondent for service provided during a month a Base Charge equal to the product of (a) the Base Rate and (b) the energy (in MWh) delivered during the month.</w:t>
      </w:r>
    </w:p>
    <w:p>
      <w:pPr>
        <w:pStyle w:val="Normal"/>
        <w:rPr>
          <w:b/>
          <w:sz w:val="24"/>
        </w:rPr>
      </w:pPr>
      <w:r>
        <w:rPr>
          <w:b/>
          <w:sz w:val="24"/>
        </w:rPr>
      </w:r>
    </w:p>
    <w:p>
      <w:pPr>
        <w:pStyle w:val="Normal"/>
        <w:rPr>
          <w:b/>
          <w:sz w:val="24"/>
        </w:rPr>
      </w:pPr>
      <w:r>
        <w:rPr>
          <w:b/>
          <w:sz w:val="24"/>
        </w:rPr>
        <w:t>BASE</w:t>
      </w:r>
    </w:p>
    <w:p>
      <w:pPr>
        <w:pStyle w:val="Normal"/>
        <w:ind w:hanging="2160" w:start="2160" w:end="0"/>
        <w:rPr>
          <w:b/>
          <w:sz w:val="24"/>
        </w:rPr>
      </w:pPr>
      <w:r>
        <w:rPr>
          <w:b/>
          <w:sz w:val="24"/>
        </w:rPr>
        <w:t>RATE:</w:t>
        <w:tab/>
      </w:r>
      <w:r>
        <w:rPr>
          <w:sz w:val="24"/>
        </w:rPr>
        <w:t>The Base Rate shall be $______/MWh</w:t>
      </w:r>
    </w:p>
    <w:p>
      <w:pPr>
        <w:pStyle w:val="Normal"/>
        <w:ind w:hanging="2160" w:start="2160" w:end="0"/>
        <w:rPr>
          <w:b/>
          <w:sz w:val="24"/>
        </w:rPr>
      </w:pPr>
      <w:r>
        <w:rPr>
          <w:b/>
          <w:sz w:val="24"/>
        </w:rPr>
      </w:r>
    </w:p>
    <w:p>
      <w:pPr>
        <w:pStyle w:val="Heading7"/>
        <w:rPr/>
      </w:pPr>
      <w:r>
        <w:rPr/>
        <w:t>ENERGY</w:t>
      </w:r>
    </w:p>
    <w:p>
      <w:pPr>
        <w:pStyle w:val="Normal"/>
        <w:ind w:hanging="2160" w:start="2160" w:end="0"/>
        <w:rPr/>
      </w:pPr>
      <w:r>
        <w:rPr>
          <w:b/>
          <w:sz w:val="24"/>
        </w:rPr>
        <w:t>CHARGE:</w:t>
      </w:r>
      <w:r>
        <w:rPr>
          <w:sz w:val="24"/>
        </w:rPr>
        <w:tab/>
        <w:t>NPC shall pay Respondent for service provided during a month an Energy Charge equal to the product of (a) the Fuel Rate and (b) the energy (in MWh) delivered during such month.</w:t>
      </w:r>
      <w:r>
        <w:br w:type="page"/>
      </w:r>
    </w:p>
    <w:p>
      <w:pPr>
        <w:pStyle w:val="Normal"/>
        <w:ind w:hanging="2160" w:start="2160" w:end="0"/>
        <w:rPr>
          <w:sz w:val="24"/>
        </w:rPr>
      </w:pPr>
      <w:r>
        <w:rPr>
          <w:sz w:val="24"/>
        </w:rPr>
      </w:r>
    </w:p>
    <w:p>
      <w:pPr>
        <w:pStyle w:val="Normal"/>
        <w:ind w:hanging="2160" w:start="2160" w:end="0"/>
        <w:rPr/>
      </w:pPr>
      <w:r>
        <w:rPr>
          <w:b/>
          <w:sz w:val="24"/>
        </w:rPr>
        <w:t>FUEL RATE:</w:t>
      </w:r>
      <w:r>
        <w:rPr>
          <w:sz w:val="24"/>
        </w:rPr>
        <w:tab/>
        <w:t xml:space="preserve">The Fuel Rate equals the Contract Heat Rate multiplied by the Gas Index. </w:t>
      </w:r>
    </w:p>
    <w:p>
      <w:pPr>
        <w:pStyle w:val="Normal"/>
        <w:rPr>
          <w:b/>
          <w:sz w:val="24"/>
        </w:rPr>
      </w:pPr>
      <w:r>
        <w:rPr>
          <w:b/>
          <w:sz w:val="24"/>
        </w:rPr>
      </w:r>
    </w:p>
    <w:p>
      <w:pPr>
        <w:pStyle w:val="Normal"/>
        <w:rPr>
          <w:b/>
          <w:sz w:val="24"/>
        </w:rPr>
      </w:pPr>
      <w:r>
        <w:rPr>
          <w:b/>
          <w:sz w:val="24"/>
        </w:rPr>
        <w:t>CONTRACT</w:t>
      </w:r>
    </w:p>
    <w:p>
      <w:pPr>
        <w:pStyle w:val="BodyTextIndent"/>
        <w:rPr/>
      </w:pPr>
      <w:r>
        <w:rPr>
          <w:b/>
          <w:sz w:val="24"/>
        </w:rPr>
        <w:t>HEAT RATE:</w:t>
      </w:r>
      <w:r>
        <w:rPr>
          <w:sz w:val="24"/>
        </w:rPr>
        <w:tab/>
        <w:t>8,000 MMBtu per MWh.</w:t>
      </w:r>
    </w:p>
    <w:p>
      <w:pPr>
        <w:pStyle w:val="Normal"/>
        <w:spacing w:before="0" w:after="240"/>
        <w:rPr>
          <w:sz w:val="24"/>
        </w:rPr>
      </w:pPr>
      <w:r>
        <w:rPr>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180" w:leader="none"/>
      </w:tabs>
      <w:rPr>
        <w:sz w:val="18"/>
      </w:rPr>
    </w:pPr>
    <w:r>
      <w:rPr>
        <w:sz w:val="18"/>
      </w:rPr>
    </w:r>
  </w:p>
  <w:p>
    <w:pPr>
      <w:pStyle w:val="Footer"/>
      <w:tabs>
        <w:tab w:val="clear" w:pos="8640"/>
        <w:tab w:val="center" w:pos="4320" w:leader="none"/>
        <w:tab w:val="right" w:pos="9180" w:leader="none"/>
      </w:tabs>
      <w:rPr>
        <w:sz w:val="18"/>
      </w:rPr>
    </w:pPr>
    <w:r>
      <w:rPr>
        <w:sz w:val="18"/>
      </w:rPr>
      <w:tab/>
      <w:tab/>
      <w:t>January 29, 2001</w:t>
    </w:r>
  </w:p>
  <w:p>
    <w:pPr>
      <w:pStyle w:val="Footer"/>
      <w:tabs>
        <w:tab w:val="clear" w:pos="8640"/>
        <w:tab w:val="center" w:pos="4320" w:leader="none"/>
        <w:tab w:val="right" w:pos="9180" w:leader="none"/>
      </w:tabs>
      <w:rPr/>
    </w:pPr>
    <w:r>
      <w:rPr>
        <w:sz w:val="16"/>
        <w:lang w:eastAsia="en-US"/>
      </w:rPr>
      <w:tab/>
    </w:r>
    <w:r>
      <w:rPr>
        <w:sz w:val="16"/>
      </w:rP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10</w:t>
    </w:r>
    <w:r>
      <w:rPr>
        <w:rStyle w:val="PageNumber"/>
        <w:sz w:val="18"/>
      </w:rPr>
      <w:fldChar w:fldCharType="end"/>
    </w:r>
    <w:r>
      <w:rPr>
        <w:rStyle w:val="PageNumber"/>
        <w:sz w:val="18"/>
      </w:rPr>
      <w:t xml:space="preserve"> of 10</w:t>
    </w:r>
  </w:p>
  <w:p>
    <w:pPr>
      <w:pStyle w:val="Footer"/>
      <w:rPr>
        <w:rStyle w:val="PageNumber"/>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i/>
        <w:i/>
        <w:sz w:val="18"/>
      </w:rPr>
    </w:pPr>
    <w:r>
      <w:rPr>
        <w:i/>
        <w:sz w:val="18"/>
      </w:rPr>
    </w:r>
  </w:p>
  <w:p>
    <w:pPr>
      <w:pStyle w:val="Footer"/>
      <w:tabs>
        <w:tab w:val="clear" w:pos="8640"/>
        <w:tab w:val="center" w:pos="4320" w:leader="none"/>
        <w:tab w:val="right" w:pos="9000" w:leader="none"/>
      </w:tabs>
      <w:rPr>
        <w:i/>
        <w:i/>
        <w:sz w:val="18"/>
      </w:rPr>
    </w:pPr>
    <w:r>
      <w:rPr>
        <w:sz w:val="18"/>
      </w:rPr>
      <w:tab/>
      <w:tab/>
      <w:t>January 29, 2001</w:t>
    </w:r>
  </w:p>
  <w:p>
    <w:pPr>
      <w:pStyle w:val="Footer"/>
      <w:tabs>
        <w:tab w:val="clear" w:pos="8640"/>
        <w:tab w:val="center" w:pos="4320" w:leader="none"/>
        <w:tab w:val="right" w:pos="9000" w:leader="none"/>
      </w:tabs>
      <w:rPr/>
    </w:pPr>
    <w:r>
      <w:rPr>
        <w:sz w:val="16"/>
        <w:lang w:eastAsia="en-US"/>
      </w:rPr>
      <w:tab/>
    </w:r>
    <w:r>
      <w:rPr>
        <w:sz w:val="16"/>
      </w:rP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4</w:t>
    </w:r>
    <w:r>
      <w:rPr>
        <w:rStyle w:val="PageNumber"/>
        <w:sz w:val="18"/>
      </w:rPr>
      <w:fldChar w:fldCharType="end"/>
    </w:r>
    <w:r>
      <w:rPr>
        <w:rStyle w:val="PageNumber"/>
        <w:sz w:val="18"/>
      </w:rPr>
      <w:t xml:space="preserve"> of 3</w:t>
    </w:r>
  </w:p>
  <w:p>
    <w:pPr>
      <w:pStyle w:val="Footer"/>
      <w:tabs>
        <w:tab w:val="clear" w:pos="8640"/>
        <w:tab w:val="center" w:pos="4320" w:leader="none"/>
        <w:tab w:val="right" w:pos="9000" w:leader="none"/>
      </w:tabs>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0" w:name="_1035808778"/>
    <w:bookmarkEnd w:id="0"/>
    <w:r>
      <w:rPr>
        <w:rFonts w:cs="Arial" w:ascii="Arial" w:hAnsi="Arial"/>
        <w:spacing w:val="-5"/>
      </w:rPr>
      <w:object w:dxaOrig="1186" w:dyaOrig="57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59.3pt;height:28.55pt" filled="f" o:ole="">
          <v:imagedata r:id="rId2" o:title=""/>
        </v:shape>
        <o:OLEObject Type="Embed" ProgID="" ShapeID="ole_rId1" DrawAspect="Content" ObjectID="_1537681944" r:id="rId1"/>
      </w:object>
    </w:r>
    <w:r>
      <w:rPr>
        <w:sz w:val="18"/>
      </w:rPr>
      <w:tab/>
    </w:r>
  </w:p>
  <w:p>
    <w:pPr>
      <w:pStyle w:val="Header"/>
      <w:jc w:val="end"/>
      <w:rPr>
        <w:b/>
        <w:i/>
        <w:i/>
        <w:sz w:val="24"/>
      </w:rPr>
    </w:pPr>
    <w:r>
      <w:rPr>
        <w:b/>
        <w:i/>
        <w:sz w:val="24"/>
      </w:rPr>
      <w:t>NEVADA POWER COMPANY</w:t>
    </w:r>
  </w:p>
  <w:p>
    <w:pPr>
      <w:pStyle w:val="Header"/>
      <w:jc w:val="end"/>
      <w:rPr>
        <w:b/>
        <w:i/>
        <w:i/>
        <w:sz w:val="24"/>
      </w:rPr>
    </w:pPr>
    <w:r>
      <w:rPr>
        <w:b/>
        <w:i/>
        <w:sz w:val="24"/>
      </w:rPr>
      <w:t>REQUEST FOR PROPOSAL</w:t>
    </w:r>
  </w:p>
  <w:p>
    <w:pPr>
      <w:pStyle w:val="Header"/>
      <w:jc w:val="end"/>
      <w:rPr/>
    </w:pPr>
    <w:r>
      <w:rPr>
        <w:b/>
        <w:sz w:val="24"/>
      </w:rPr>
      <w:br/>
    </w: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pacing w:val="-5"/>
      </w:rPr>
      <w:object w:dxaOrig="1186" w:dyaOrig="57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59.3pt;height:28.55pt" filled="f" o:ole="">
          <v:imagedata r:id="rId2" o:title=""/>
        </v:shape>
        <o:OLEObject Type="Embed" ProgID="" ShapeID="ole_rId1" DrawAspect="Content" ObjectID="_852407965" r:id="rId1"/>
      </w:object>
    </w:r>
    <w:r>
      <w:rPr>
        <w:sz w:val="18"/>
      </w:rPr>
      <w:tab/>
    </w:r>
  </w:p>
  <w:p>
    <w:pPr>
      <w:pStyle w:val="Header"/>
      <w:jc w:val="end"/>
      <w:rPr>
        <w:b/>
        <w:i/>
        <w:i/>
        <w:sz w:val="24"/>
      </w:rPr>
    </w:pPr>
    <w:r>
      <w:rPr>
        <w:b/>
        <w:i/>
        <w:sz w:val="24"/>
      </w:rPr>
      <w:t>NEVADA POWER COMPANY</w:t>
    </w:r>
  </w:p>
  <w:p>
    <w:pPr>
      <w:pStyle w:val="Header"/>
      <w:jc w:val="end"/>
      <w:rPr>
        <w:b/>
        <w:i/>
        <w:i/>
        <w:sz w:val="24"/>
      </w:rPr>
    </w:pPr>
    <w:r>
      <w:rPr>
        <w:b/>
        <w:i/>
        <w:sz w:val="24"/>
      </w:rPr>
      <w:t>REQUEST FOR PROPOSAL</w:t>
    </w:r>
  </w:p>
  <w:p>
    <w:pPr>
      <w:pStyle w:val="Header"/>
      <w:jc w:val="end"/>
      <w:rPr/>
    </w:pPr>
    <w:r>
      <w:rPr>
        <w:b/>
        <w:sz w:val="24"/>
      </w:rPr>
      <w:br/>
    </w: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540"/>
      </w:pPr>
      <w:rPr/>
    </w:lvl>
  </w:abstractNum>
  <w:abstractNum w:abstractNumId="3">
    <w:lvl w:ilvl="0">
      <w:start w:val="2"/>
      <w:numFmt w:val="lowerLetter"/>
      <w:lvlText w:val="%1."/>
      <w:lvlJc w:val="start"/>
      <w:pPr>
        <w:tabs>
          <w:tab w:val="num" w:pos="1080"/>
        </w:tabs>
        <w:ind w:start="1080" w:hanging="540"/>
      </w:pPr>
      <w:rPr/>
    </w:lvl>
  </w:abstractNum>
  <w:abstractNum w:abstractNumId="4">
    <w:lvl w:ilvl="0">
      <w:start w:val="1"/>
      <w:numFmt w:val="lowerLetter"/>
      <w:lvlText w:val="%1."/>
      <w:lvlJc w:val="start"/>
      <w:pPr>
        <w:tabs>
          <w:tab w:val="num" w:pos="1080"/>
        </w:tabs>
        <w:ind w:start="1080" w:hanging="540"/>
      </w:pPr>
      <w:rPr/>
    </w:lvl>
  </w:abstractNum>
  <w:abstractNum w:abstractNumId="5">
    <w:lvl w:ilvl="0">
      <w:start w:val="4"/>
      <w:numFmt w:val="decimal"/>
      <w:lvlText w:val="%1."/>
      <w:lvlJc w:val="start"/>
      <w:pPr>
        <w:tabs>
          <w:tab w:val="num" w:pos="504"/>
        </w:tabs>
        <w:ind w:start="504" w:hanging="504"/>
      </w:pPr>
    </w:lvl>
  </w:abstractNum>
  <w:abstractNum w:abstractNumId="6">
    <w:lvl w:ilvl="0">
      <w:start w:val="1"/>
      <w:numFmt w:val="decimal"/>
      <w:lvlText w:val="%1."/>
      <w:lvlJc w:val="start"/>
      <w:pPr>
        <w:tabs>
          <w:tab w:val="num" w:pos="504"/>
        </w:tabs>
        <w:ind w:start="504" w:hanging="504"/>
      </w:p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5"/>
      <w:numFmt w:val="decimal"/>
      <w:lvlText w:val="%1."/>
      <w:lvlJc w:val="start"/>
      <w:pPr>
        <w:tabs>
          <w:tab w:val="num" w:pos="360"/>
        </w:tabs>
        <w:ind w:start="360" w:hanging="360"/>
      </w:pPr>
      <w:rPr>
        <w:u w:val="none"/>
      </w:rPr>
    </w:lvl>
  </w:abstractNum>
  <w:abstractNum w:abstractNumId="9">
    <w:lvl w:ilvl="0">
      <w:start w:val="1"/>
      <w:numFmt w:val="decimal"/>
      <w:lvlText w:val="%1."/>
      <w:lvlJc w:val="start"/>
      <w:pPr>
        <w:tabs>
          <w:tab w:val="num" w:pos="504"/>
        </w:tabs>
        <w:ind w:start="504" w:hanging="504"/>
      </w:pPr>
    </w:lvl>
  </w:abstractNum>
  <w:abstractNum w:abstractNumId="10">
    <w:lvl w:ilvl="0">
      <w:start w:val="1"/>
      <w:numFmt w:val="decimal"/>
      <w:lvlText w:val="%1."/>
      <w:lvlJc w:val="start"/>
      <w:pPr>
        <w:tabs>
          <w:tab w:val="num" w:pos="360"/>
        </w:tabs>
        <w:ind w:start="360" w:hanging="360"/>
      </w:pPr>
      <w:rPr>
        <w:i w:val="false"/>
        <w:u w:val="none"/>
        <w:b w:val="false"/>
      </w:rPr>
    </w:lvl>
  </w:abstractNum>
  <w:abstractNum w:abstractNumId="11">
    <w:lvl w:ilvl="0">
      <w:start w:val="1"/>
      <w:numFmt w:val="decimal"/>
      <w:lvlText w:val="%1."/>
      <w:lvlJc w:val="start"/>
      <w:pPr>
        <w:tabs>
          <w:tab w:val="num" w:pos="360"/>
        </w:tabs>
        <w:ind w:start="360" w:hanging="360"/>
      </w:pPr>
    </w:lvl>
  </w:abstractNum>
  <w:abstractNum w:abstractNumId="12">
    <w:lvl w:ilvl="0">
      <w:start w:val="1"/>
      <w:numFmt w:val="lowerLetter"/>
      <w:lvlText w:val="%1."/>
      <w:lvlJc w:val="start"/>
      <w:pPr>
        <w:tabs>
          <w:tab w:val="num" w:pos="1080"/>
        </w:tabs>
        <w:ind w:start="1080" w:hanging="540"/>
      </w:pPr>
      <w:rPr/>
    </w:lvl>
  </w:abstractNum>
  <w:abstractNum w:abstractNumId="13">
    <w:lvl w:ilvl="0">
      <w:start w:val="1"/>
      <w:numFmt w:val="decimal"/>
      <w:lvlText w:val="%1."/>
      <w:lvlJc w:val="start"/>
      <w:pPr>
        <w:tabs>
          <w:tab w:val="num" w:pos="504"/>
        </w:tabs>
        <w:ind w:start="504" w:hanging="504"/>
      </w:pPr>
    </w:lvl>
  </w:abstractNum>
  <w:abstractNum w:abstractNumId="14">
    <w:lvl w:ilvl="0">
      <w:start w:val="3"/>
      <w:numFmt w:val="lowerLetter"/>
      <w:lvlText w:val="%1."/>
      <w:lvlJc w:val="start"/>
      <w:pPr>
        <w:tabs>
          <w:tab w:val="num" w:pos="1080"/>
        </w:tabs>
        <w:ind w:start="1080" w:hanging="540"/>
      </w:pPr>
      <w:rPr/>
    </w:lvl>
  </w:abstractNum>
  <w:abstractNum w:abstractNumId="15">
    <w:lvl w:ilvl="0">
      <w:start w:val="3"/>
      <w:numFmt w:val="decimal"/>
      <w:lvlText w:val="%1."/>
      <w:lvlJc w:val="start"/>
      <w:pPr>
        <w:tabs>
          <w:tab w:val="num" w:pos="504"/>
        </w:tabs>
        <w:ind w:start="504" w:hanging="504"/>
      </w:pPr>
    </w:lvl>
  </w:abstractNum>
  <w:abstractNum w:abstractNumId="16">
    <w:lvl w:ilvl="0">
      <w:start w:val="1"/>
      <w:numFmt w:val="lowerLetter"/>
      <w:lvlText w:val="%1."/>
      <w:lvlJc w:val="start"/>
      <w:pPr>
        <w:tabs>
          <w:tab w:val="num" w:pos="1080"/>
        </w:tabs>
        <w:ind w:start="1080" w:hanging="540"/>
      </w:pPr>
      <w:r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lowerRoman"/>
      <w:lvlText w:val="%1."/>
      <w:lvlJc w:val="start"/>
      <w:pPr>
        <w:tabs>
          <w:tab w:val="num" w:pos="720"/>
        </w:tabs>
        <w:ind w:start="504" w:hanging="504"/>
      </w:pPr>
    </w:lvl>
  </w:abstractNum>
  <w:abstractNum w:abstractNumId="19">
    <w:lvl w:ilvl="0">
      <w:start w:val="2"/>
      <w:numFmt w:val="decimal"/>
      <w:lvlText w:val="%1."/>
      <w:lvlJc w:val="start"/>
      <w:pPr>
        <w:tabs>
          <w:tab w:val="num" w:pos="504"/>
        </w:tabs>
        <w:ind w:start="504" w:hanging="50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firstLine="720" w:start="1440" w:end="0"/>
      <w:outlineLvl w:val="1"/>
    </w:pPr>
    <w:rPr>
      <w:b/>
      <w:sz w:val="22"/>
    </w:rPr>
  </w:style>
  <w:style w:type="paragraph" w:styleId="Heading3">
    <w:name w:val="heading 3"/>
    <w:basedOn w:val="Normal"/>
    <w:next w:val="Normal"/>
    <w:qFormat/>
    <w:pPr>
      <w:keepNext w:val="true"/>
      <w:numPr>
        <w:ilvl w:val="2"/>
        <w:numId w:val="1"/>
      </w:numPr>
      <w:ind w:hanging="2160" w:start="2160" w:end="0"/>
      <w:outlineLvl w:val="2"/>
    </w:pPr>
    <w:rPr>
      <w:sz w:val="22"/>
      <w:u w:val="single"/>
    </w:rPr>
  </w:style>
  <w:style w:type="paragraph" w:styleId="Heading4">
    <w:name w:val="heading 4"/>
    <w:basedOn w:val="Normal"/>
    <w:next w:val="Normal"/>
    <w:qFormat/>
    <w:pPr>
      <w:keepNext w:val="true"/>
      <w:numPr>
        <w:ilvl w:val="3"/>
        <w:numId w:val="1"/>
      </w:numPr>
      <w:outlineLvl w:val="3"/>
    </w:pPr>
    <w:rPr>
      <w:sz w:val="22"/>
      <w:u w:val="single"/>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ind w:hanging="2160" w:start="2160" w:end="0"/>
      <w:outlineLvl w:val="6"/>
    </w:pPr>
    <w:rPr>
      <w:b/>
      <w:sz w:val="24"/>
    </w:rPr>
  </w:style>
  <w:style w:type="paragraph" w:styleId="Heading8">
    <w:name w:val="heading 8"/>
    <w:basedOn w:val="Normal"/>
    <w:next w:val="Normal"/>
    <w:qFormat/>
    <w:pPr>
      <w:keepNext w:val="true"/>
      <w:numPr>
        <w:ilvl w:val="7"/>
        <w:numId w:val="1"/>
      </w:numPr>
      <w:ind w:hanging="2160" w:start="2160" w:end="0"/>
      <w:outlineLvl w:val="7"/>
    </w:pPr>
    <w:rPr>
      <w:sz w:val="24"/>
    </w:rPr>
  </w:style>
  <w:style w:type="paragraph" w:styleId="Heading9">
    <w:name w:val="heading 9"/>
    <w:basedOn w:val="Normal"/>
    <w:next w:val="Normal"/>
    <w:qFormat/>
    <w:pPr>
      <w:keepNext w:val="true"/>
      <w:numPr>
        <w:ilvl w:val="8"/>
        <w:numId w:val="1"/>
      </w:numPr>
      <w:outlineLvl w:val="8"/>
    </w:pPr>
    <w:rPr>
      <w:b/>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i w:val="false"/>
    </w:rPr>
  </w:style>
  <w:style w:type="character" w:styleId="WW8Num13z1">
    <w:name w:val="WW8Num13z1"/>
    <w:qFormat/>
    <w:rPr>
      <w:rFonts w:ascii="Times New Roman" w:hAnsi="Times New Roman" w:cs="Times New Roman"/>
      <w:b w:val="false"/>
      <w:i w:val="false"/>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CG Times (WN)" w:hAnsi="CG Times (WN)" w:cs=""/>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style>
  <w:style w:type="character" w:styleId="WW8Num40z0">
    <w:name w:val="WW8Num40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Wingdings" w:hAnsi="Wingdings" w:cs="Wingdings"/>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Wingdings" w:hAnsi="Wingdings" w:cs="Wingdings"/>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Wingdings" w:hAnsi="Wingdings" w:cs="Wingdings"/>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style>
  <w:style w:type="character" w:styleId="WW8Num83z0">
    <w:name w:val="WW8Num83z0"/>
    <w:qFormat/>
    <w:rPr>
      <w:i w:val="false"/>
    </w:rPr>
  </w:style>
  <w:style w:type="character" w:styleId="WW8Num84z0">
    <w:name w:val="WW8Num84z0"/>
    <w:qFormat/>
    <w:rPr>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94z0">
    <w:name w:val="WW8Num94z0"/>
    <w:qFormat/>
    <w:rPr/>
  </w:style>
  <w:style w:type="character" w:styleId="WW8Num96z0">
    <w:name w:val="WW8Num96z0"/>
    <w:qFormat/>
    <w:rPr>
      <w:rFonts w:ascii="Wingdings" w:hAnsi="Wingdings" w:cs="Wingdings"/>
    </w:rPr>
  </w:style>
  <w:style w:type="character" w:styleId="WW8Num97z0">
    <w:name w:val="WW8Num97z0"/>
    <w:qFormat/>
    <w:rPr/>
  </w:style>
  <w:style w:type="character" w:styleId="WW8Num98z0">
    <w:name w:val="WW8Num98z0"/>
    <w:qFormat/>
    <w:rPr>
      <w:rFonts w:ascii="Symbol" w:hAnsi="Symbol" w:cs="Symbol"/>
    </w:rPr>
  </w:style>
  <w:style w:type="character" w:styleId="WW8Num100z0">
    <w:name w:val="WW8Num100z0"/>
    <w:qFormat/>
    <w:rPr/>
  </w:style>
  <w:style w:type="character" w:styleId="WW8Num101z0">
    <w:name w:val="WW8Num101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Wingdings" w:hAnsi="Wingdings" w:cs="Wingdings"/>
    </w:rPr>
  </w:style>
  <w:style w:type="character" w:styleId="WW8Num106z0">
    <w:name w:val="WW8Num106z0"/>
    <w:qFormat/>
    <w:rPr/>
  </w:style>
  <w:style w:type="character" w:styleId="WW8Num108z0">
    <w:name w:val="WW8Num108z0"/>
    <w:qFormat/>
    <w:rPr/>
  </w:style>
  <w:style w:type="character" w:styleId="WW8Num109z0">
    <w:name w:val="WW8Num109z0"/>
    <w:qFormat/>
    <w:rPr>
      <w:rFonts w:ascii="Wingdings" w:hAnsi="Wingdings" w:cs="Wingdings"/>
    </w:rPr>
  </w:style>
  <w:style w:type="character" w:styleId="WW8Num110z0">
    <w:name w:val="WW8Num110z0"/>
    <w:qFormat/>
    <w:rPr/>
  </w:style>
  <w:style w:type="character" w:styleId="WW8Num111z0">
    <w:name w:val="WW8Num111z0"/>
    <w:qFormat/>
    <w:rPr>
      <w:i w:val="false"/>
    </w:rPr>
  </w:style>
  <w:style w:type="character" w:styleId="WW8Num112z0">
    <w:name w:val="WW8Num112z0"/>
    <w:qFormat/>
    <w:rPr>
      <w:rFonts w:ascii="Wingdings" w:hAnsi="Wingdings" w:cs="Wingdings"/>
    </w:rPr>
  </w:style>
  <w:style w:type="character" w:styleId="WW8Num114z0">
    <w:name w:val="WW8Num114z0"/>
    <w:qFormat/>
    <w:rPr>
      <w:u w:val="none"/>
    </w:rPr>
  </w:style>
  <w:style w:type="character" w:styleId="WW8Num115z0">
    <w:name w:val="WW8Num115z0"/>
    <w:qFormat/>
    <w:rPr>
      <w:rFonts w:ascii="Wingdings" w:hAnsi="Wingdings" w:cs="Wingdings"/>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b w:val="false"/>
      <w:i w:val="false"/>
      <w:u w:val="none"/>
    </w:rPr>
  </w:style>
  <w:style w:type="character" w:styleId="WW8Num120z0">
    <w:name w:val="WW8Num120z0"/>
    <w:qFormat/>
    <w:rPr>
      <w:rFonts w:ascii="Symbol" w:hAnsi="Symbol" w:cs="Symbol"/>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Times New Roman" w:hAnsi="Times New Roman" w:cs="Times New Roman"/>
      <w:b w:val="false"/>
      <w:i w:val="false"/>
    </w:rPr>
  </w:style>
  <w:style w:type="character" w:styleId="WW8Num128z1">
    <w:name w:val="WW8Num128z1"/>
    <w:qFormat/>
    <w:rPr>
      <w:rFonts w:ascii="Times New Roman" w:hAnsi="Times New Roman" w:cs="Times New Roman"/>
      <w:b/>
      <w:i w:val="false"/>
    </w:rPr>
  </w:style>
  <w:style w:type="character" w:styleId="WW8Num128z2">
    <w:name w:val="WW8Num128z2"/>
    <w:qFormat/>
    <w:rPr/>
  </w:style>
  <w:style w:type="character" w:styleId="WW8Num129z0">
    <w:name w:val="WW8Num129z0"/>
    <w:qFormat/>
    <w:rPr/>
  </w:style>
  <w:style w:type="character" w:styleId="WW8Num131z0">
    <w:name w:val="WW8Num131z0"/>
    <w:qFormat/>
    <w:rPr/>
  </w:style>
  <w:style w:type="character" w:styleId="WW8Num132z0">
    <w:name w:val="WW8Num132z0"/>
    <w:qFormat/>
    <w:rPr>
      <w:i/>
    </w:rPr>
  </w:style>
  <w:style w:type="character" w:styleId="WW8Num133z0">
    <w:name w:val="WW8Num133z0"/>
    <w:qFormat/>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Wingdings" w:hAnsi="Wingdings" w:cs="Wingdings"/>
    </w:rPr>
  </w:style>
  <w:style w:type="character" w:styleId="WW8Num139z0">
    <w:name w:val="WW8Num139z0"/>
    <w:qFormat/>
    <w:rPr>
      <w:i w:val="false"/>
    </w:rPr>
  </w:style>
  <w:style w:type="character" w:styleId="WW8Num139z1">
    <w:name w:val="WW8Num139z1"/>
    <w:qFormat/>
    <w:rPr>
      <w:rFonts w:ascii="Times New Roman" w:hAnsi="Times New Roman" w:cs="Times New Roman"/>
      <w:b w:val="false"/>
      <w:i w:val="false"/>
      <w:sz w:val="24"/>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rFonts w:ascii="Wingdings" w:hAnsi="Wingdings" w:cs="Wingdings"/>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style>
  <w:style w:type="character" w:styleId="WW8Num150z0">
    <w:name w:val="WW8Num150z0"/>
    <w:qFormat/>
    <w:rPr>
      <w:rFonts w:ascii="Wingdings" w:hAnsi="Wingdings" w:cs="Wingdings"/>
    </w:rPr>
  </w:style>
  <w:style w:type="character" w:styleId="WW8Num151z0">
    <w:name w:val="WW8Num151z0"/>
    <w:qFormat/>
    <w:rPr>
      <w:rFonts w:ascii="Wingdings" w:hAnsi="Wingdings" w:cs="Wingdings"/>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i/>
    </w:rPr>
  </w:style>
  <w:style w:type="character" w:styleId="WW8Num155z0">
    <w:name w:val="WW8Num155z0"/>
    <w:qFormat/>
    <w:rPr>
      <w:i w:val="false"/>
    </w:rPr>
  </w:style>
  <w:style w:type="character" w:styleId="WW8Num156z0">
    <w:name w:val="WW8Num156z0"/>
    <w:qFormat/>
    <w:rPr/>
  </w:style>
  <w:style w:type="character" w:styleId="WW8Num157z0">
    <w:name w:val="WW8Num157z0"/>
    <w:qFormat/>
    <w:rPr>
      <w:i w:val="false"/>
    </w:rPr>
  </w:style>
  <w:style w:type="character" w:styleId="WW8Num158z0">
    <w:name w:val="WW8Num158z0"/>
    <w:qFormat/>
    <w:rPr>
      <w:rFonts w:ascii="Symbol" w:hAnsi="Symbol" w:cs="Symbol"/>
    </w:rPr>
  </w:style>
  <w:style w:type="character" w:styleId="WW8Num159z0">
    <w:name w:val="WW8Num159z0"/>
    <w:qFormat/>
    <w:rPr/>
  </w:style>
  <w:style w:type="character" w:styleId="WW8Num161z0">
    <w:name w:val="WW8Num161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cs=""/>
    </w:rPr>
  </w:style>
  <w:style w:type="character" w:styleId="WW8Num166z0">
    <w:name w:val="WW8Num166z0"/>
    <w:qFormat/>
    <w:rPr>
      <w:rFonts w:ascii="Symbol" w:hAnsi="Symbol" w:cs="Symbol"/>
    </w:rPr>
  </w:style>
  <w:style w:type="character" w:styleId="WW8Num167z0">
    <w:name w:val="WW8Num167z0"/>
    <w:qFormat/>
    <w:rPr>
      <w:rFonts w:ascii="Wingdings" w:hAnsi="Wingdings" w:cs="Wingdings"/>
    </w:rPr>
  </w:style>
  <w:style w:type="character" w:styleId="WW8Num168z0">
    <w:name w:val="WW8Num168z0"/>
    <w:qFormat/>
    <w:rPr>
      <w:rFonts w:ascii="Symbol" w:hAnsi="Symbol" w:cs="Symbol"/>
    </w:rPr>
  </w:style>
  <w:style w:type="character" w:styleId="WW8Num169z0">
    <w:name w:val="WW8Num169z0"/>
    <w:qFormat/>
    <w:rPr>
      <w:i/>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Wingdings" w:hAnsi="Wingdings" w:cs="Wingdings"/>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i/>
    </w:rPr>
  </w:style>
  <w:style w:type="character" w:styleId="WW8Num184z0">
    <w:name w:val="WW8Num184z0"/>
    <w:qFormat/>
    <w:rPr>
      <w:rFonts w:ascii="Symbol" w:hAnsi="Symbol" w:cs="Symbol"/>
    </w:rPr>
  </w:style>
  <w:style w:type="character" w:styleId="WW8Num185z0">
    <w:name w:val="WW8Num185z0"/>
    <w:qFormat/>
    <w:rPr/>
  </w:style>
  <w:style w:type="character" w:styleId="WW8Num186z0">
    <w:name w:val="WW8Num186z0"/>
    <w:qFormat/>
    <w:rPr>
      <w:i w:val="false"/>
    </w:rPr>
  </w:style>
  <w:style w:type="character" w:styleId="WW8Num187z0">
    <w:name w:val="WW8Num187z0"/>
    <w:qFormat/>
    <w:rPr>
      <w:i/>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rFonts w:ascii="Symbol" w:hAnsi="Symbol" w:cs="Symbol"/>
    </w:rPr>
  </w:style>
  <w:style w:type="character" w:styleId="WW8Num207z0">
    <w:name w:val="WW8Num207z0"/>
    <w:qFormat/>
    <w:rPr/>
  </w:style>
  <w:style w:type="character" w:styleId="WW8Num208z0">
    <w:name w:val="WW8Num208z0"/>
    <w:qFormat/>
    <w:rPr>
      <w:b w:val="false"/>
    </w:rPr>
  </w:style>
  <w:style w:type="character" w:styleId="WW8Num209z0">
    <w:name w:val="WW8Num209z0"/>
    <w:qFormat/>
    <w:rPr/>
  </w:style>
  <w:style w:type="character" w:styleId="WW8Num210z0">
    <w:name w:val="WW8Num210z0"/>
    <w:qFormat/>
    <w:rPr>
      <w:rFonts w:ascii="Wingdings" w:hAnsi="Wingdings" w:cs="Wingdings"/>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rFonts w:ascii="Wingdings" w:hAnsi="Wingdings" w:cs="Wingdings"/>
    </w:rPr>
  </w:style>
  <w:style w:type="character" w:styleId="WW8Num216z0">
    <w:name w:val="WW8Num216z0"/>
    <w:qFormat/>
    <w:rPr/>
  </w:style>
  <w:style w:type="character" w:styleId="WW8Num217z0">
    <w:name w:val="WW8Num217z0"/>
    <w:qFormat/>
    <w:rPr>
      <w:rFonts w:ascii="Wingdings" w:hAnsi="Wingdings" w:cs="Wingdings"/>
    </w:rPr>
  </w:style>
  <w:style w:type="character" w:styleId="WW8Num218z0">
    <w:name w:val="WW8Num218z0"/>
    <w:qFormat/>
    <w:rPr>
      <w:rFonts w:ascii="Wingdings" w:hAnsi="Wingdings" w:cs="Wingdings"/>
    </w:rPr>
  </w:style>
  <w:style w:type="character" w:styleId="WW8Num219z0">
    <w:name w:val="WW8Num219z0"/>
    <w:qFormat/>
    <w:rPr>
      <w:rFonts w:ascii="Symbol" w:hAnsi="Symbol" w:cs="Symbol"/>
    </w:rPr>
  </w:style>
  <w:style w:type="character" w:styleId="WW8Num220z0">
    <w:name w:val="WW8Num220z0"/>
    <w:qFormat/>
    <w:rPr>
      <w:i w:val="false"/>
    </w:rPr>
  </w:style>
  <w:style w:type="character" w:styleId="WW8Num220z1">
    <w:name w:val="WW8Num220z1"/>
    <w:qFormat/>
    <w:rPr>
      <w:rFonts w:ascii="Times New Roman" w:hAnsi="Times New Roman" w:cs="Times New Roman"/>
      <w:b w:val="false"/>
      <w:i w:val="false"/>
    </w:rPr>
  </w:style>
  <w:style w:type="character" w:styleId="WW8Num221z0">
    <w:name w:val="WW8Num221z0"/>
    <w:qFormat/>
    <w:rPr>
      <w:rFonts w:ascii="Symbol" w:hAnsi="Symbol" w:cs="Symbol"/>
    </w:rPr>
  </w:style>
  <w:style w:type="character" w:styleId="WW8Num222z0">
    <w:name w:val="WW8Num222z0"/>
    <w:qFormat/>
    <w:rPr>
      <w:rFonts w:ascii="CG Times (WN)" w:hAnsi="CG Times (WN)" w:cs=""/>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Symbol" w:hAnsi="Symbol" w:cs="Symbol"/>
    </w:rPr>
  </w:style>
  <w:style w:type="character" w:styleId="WW8Num229z0">
    <w:name w:val="WW8Num229z0"/>
    <w:qFormat/>
    <w:rPr/>
  </w:style>
  <w:style w:type="character" w:styleId="WW8Num230z0">
    <w:name w:val="WW8Num230z0"/>
    <w:qFormat/>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4z0">
    <w:name w:val="WW8Num234z0"/>
    <w:qFormat/>
    <w:rPr/>
  </w:style>
  <w:style w:type="character" w:styleId="WW8Num235z0">
    <w:name w:val="WW8Num235z0"/>
    <w:qFormat/>
    <w:rPr>
      <w:rFonts w:ascii="Wingdings" w:hAnsi="Wingdings" w:cs="Wingdings"/>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rFonts w:ascii="Wingdings" w:hAnsi="Wingdings" w:cs="Wingdings"/>
    </w:rPr>
  </w:style>
  <w:style w:type="character" w:styleId="WW8Num239z0">
    <w:name w:val="WW8Num239z0"/>
    <w:qFormat/>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7z0">
    <w:name w:val="WW8Num247z0"/>
    <w:qFormat/>
    <w:rPr/>
  </w:style>
  <w:style w:type="character" w:styleId="WW8Num248z0">
    <w:name w:val="WW8Num248z0"/>
    <w:qFormat/>
    <w:rPr/>
  </w:style>
  <w:style w:type="character" w:styleId="WW8Num249z0">
    <w:name w:val="WW8Num249z0"/>
    <w:qFormat/>
    <w:rPr>
      <w:rFonts w:ascii="Wingdings" w:hAnsi="Wingdings" w:cs="Wingdings"/>
    </w:rPr>
  </w:style>
  <w:style w:type="character" w:styleId="WW8Num250z0">
    <w:name w:val="WW8Num250z0"/>
    <w:qFormat/>
    <w:rPr>
      <w:rFonts w:ascii="Symbol" w:hAnsi="Symbol" w:cs="Symbol"/>
    </w:rPr>
  </w:style>
  <w:style w:type="character" w:styleId="WW8NumSt1z0">
    <w:name w:val="WW8NumSt1z0"/>
    <w:qFormat/>
    <w:rPr>
      <w:rFonts w:ascii="Symbol" w:hAnsi="Symbol" w:cs="Symbol"/>
    </w:rPr>
  </w:style>
  <w:style w:type="character" w:styleId="WW8NumSt8z0">
    <w:name w:val="WW8NumSt8z0"/>
    <w:qFormat/>
    <w:rPr>
      <w:rFonts w:ascii="Wingdings" w:hAnsi="Wingdings" w:cs="Wingdings"/>
      <w:sz w:val="24"/>
    </w:rPr>
  </w:style>
  <w:style w:type="character" w:styleId="WW8NumSt17z0">
    <w:name w:val="WW8NumSt17z0"/>
    <w:qFormat/>
    <w:rPr>
      <w:rFonts w:ascii="Wingdings" w:hAnsi="Wingdings" w:cs="Wingdings"/>
      <w:sz w:val="28"/>
    </w:rPr>
  </w:style>
  <w:style w:type="character" w:styleId="WW8NumSt18z0">
    <w:name w:val="WW8NumSt18z0"/>
    <w:qFormat/>
    <w:rPr>
      <w:rFonts w:ascii="Arial" w:hAnsi="Arial" w:cs="Arial"/>
      <w:sz w:val="24"/>
    </w:rPr>
  </w:style>
  <w:style w:type="character" w:styleId="WW8NumSt19z0">
    <w:name w:val="WW8NumSt19z0"/>
    <w:qFormat/>
    <w:rPr>
      <w:rFonts w:ascii="Times New Roman" w:hAnsi="Times New Roman" w:cs="Times New Roman"/>
      <w:sz w:val="24"/>
    </w:rPr>
  </w:style>
  <w:style w:type="character" w:styleId="WW8NumSt20z0">
    <w:name w:val="WW8NumSt20z0"/>
    <w:qFormat/>
    <w:rPr>
      <w:rFonts w:ascii="Times New Roman" w:hAnsi="Times New Roman" w:cs="Times New Roman"/>
      <w:sz w:val="24"/>
    </w:rPr>
  </w:style>
  <w:style w:type="character" w:styleId="WW8NumSt21z0">
    <w:name w:val="WW8NumSt21z0"/>
    <w:qFormat/>
    <w:rPr>
      <w:rFonts w:ascii="Times New Roman" w:hAnsi="Times New Roman" w:cs="Times New Roman"/>
      <w:sz w:val="20"/>
    </w:rPr>
  </w:style>
  <w:style w:type="character" w:styleId="WW8NumSt22z0">
    <w:name w:val="WW8NumSt22z0"/>
    <w:qFormat/>
    <w:rPr>
      <w:rFonts w:ascii="Times New Roman" w:hAnsi="Times New Roman" w:cs="Times New Roman"/>
      <w:sz w:val="20"/>
    </w:rPr>
  </w:style>
  <w:style w:type="character" w:styleId="WW8NumSt45z0">
    <w:name w:val="WW8NumSt45z0"/>
    <w:qFormat/>
    <w:rPr>
      <w:rFonts w:ascii="Times New Roman" w:hAnsi="Times New Roman" w:cs="Times New Roman"/>
      <w:sz w:val="18"/>
    </w:rPr>
  </w:style>
  <w:style w:type="character" w:styleId="WW8NumSt46z0">
    <w:name w:val="WW8NumSt46z0"/>
    <w:qFormat/>
    <w:rPr>
      <w:rFonts w:ascii="Times New Roman" w:hAnsi="Times New Roman" w:cs="Times New Roman"/>
      <w:sz w:val="18"/>
    </w:rPr>
  </w:style>
  <w:style w:type="character" w:styleId="DefaultParagraphFont">
    <w:name w:val="Default Paragraph Font"/>
    <w:qFormat/>
    <w:rPr/>
  </w:style>
  <w:style w:type="character" w:styleId="1">
    <w:name w:val="1"/>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160" w:start="2160" w:end="0"/>
    </w:pPr>
    <w:rPr>
      <w:sz w:val="22"/>
    </w:rPr>
  </w:style>
  <w:style w:type="paragraph" w:styleId="BodyTextIndent2">
    <w:name w:val="Body Text Indent 2"/>
    <w:basedOn w:val="Normal"/>
    <w:qFormat/>
    <w:pPr>
      <w:ind w:hanging="0" w:start="2160" w:end="0"/>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160" w:end="0"/>
    </w:pPr>
    <w:rPr>
      <w:sz w:val="24"/>
    </w:rPr>
  </w:style>
  <w:style w:type="paragraph" w:styleId="BodyText2">
    <w:name w:val="Body Text 2"/>
    <w:basedOn w:val="Normal"/>
    <w:qFormat/>
    <w:pPr/>
    <w:rPr>
      <w:b/>
      <w:sz w:val="28"/>
    </w:rPr>
  </w:style>
  <w:style w:type="paragraph" w:styleId="BlockText">
    <w:name w:val="Block Text"/>
    <w:basedOn w:val="Normal"/>
    <w:qFormat/>
    <w:pPr>
      <w:ind w:hanging="0" w:start="360" w:end="252"/>
    </w:pPr>
    <w:rPr>
      <w:b/>
      <w:sz w:val="24"/>
    </w:rPr>
  </w:style>
  <w:style w:type="paragraph" w:styleId="BodyText3">
    <w:name w:val="Body Text 3"/>
    <w:basedOn w:val="Normal"/>
    <w:qFormat/>
    <w:pPr>
      <w:spacing w:before="0" w:after="240"/>
    </w:pPr>
    <w:rPr>
      <w:sz w:val="24"/>
      <w:lang w:eastAsia="en-US"/>
    </w:rPr>
  </w:style>
  <w:style w:type="paragraph" w:styleId="Outline0021">
    <w:name w:val="Outline002_1"/>
    <w:basedOn w:val="Normal"/>
    <w:next w:val="Outline0021Body"/>
    <w:qFormat/>
    <w:pPr>
      <w:widowControl w:val="false"/>
      <w:tabs>
        <w:tab w:val="clear" w:pos="720"/>
        <w:tab w:val="left" w:pos="0" w:leader="none"/>
      </w:tabs>
      <w:autoSpaceDE w:val="false"/>
      <w:jc w:val="both"/>
      <w:outlineLvl w:val="0"/>
    </w:pPr>
    <w:rPr>
      <w:sz w:val="24"/>
    </w:rPr>
  </w:style>
  <w:style w:type="paragraph" w:styleId="Outline0022">
    <w:name w:val="Outline002_2"/>
    <w:basedOn w:val="Normal"/>
    <w:qFormat/>
    <w:pPr>
      <w:widowControl w:val="false"/>
      <w:tabs>
        <w:tab w:val="clear" w:pos="720"/>
        <w:tab w:val="left" w:pos="0" w:leader="none"/>
      </w:tabs>
      <w:autoSpaceDE w:val="false"/>
      <w:jc w:val="both"/>
      <w:outlineLvl w:val="1"/>
    </w:pPr>
    <w:rPr>
      <w:sz w:val="24"/>
    </w:rPr>
  </w:style>
  <w:style w:type="paragraph" w:styleId="Outline0023">
    <w:name w:val="Outline002_3"/>
    <w:basedOn w:val="Normal"/>
    <w:qFormat/>
    <w:pPr>
      <w:widowControl w:val="false"/>
      <w:tabs>
        <w:tab w:val="clear" w:pos="720"/>
        <w:tab w:val="left" w:pos="0" w:leader="none"/>
        <w:tab w:val="left" w:pos="1440" w:leader="none"/>
      </w:tabs>
      <w:autoSpaceDE w:val="false"/>
      <w:jc w:val="both"/>
      <w:outlineLvl w:val="2"/>
    </w:pPr>
    <w:rPr>
      <w:sz w:val="24"/>
    </w:rPr>
  </w:style>
  <w:style w:type="paragraph" w:styleId="Outline0024">
    <w:name w:val="Outline002_4"/>
    <w:basedOn w:val="Normal"/>
    <w:qFormat/>
    <w:pPr>
      <w:widowControl w:val="false"/>
      <w:tabs>
        <w:tab w:val="clear" w:pos="720"/>
        <w:tab w:val="left" w:pos="0" w:leader="none"/>
        <w:tab w:val="left" w:pos="1440" w:leader="none"/>
        <w:tab w:val="left" w:pos="2430" w:leader="none"/>
      </w:tabs>
      <w:autoSpaceDE w:val="false"/>
      <w:jc w:val="both"/>
      <w:outlineLvl w:val="3"/>
    </w:pPr>
    <w:rPr>
      <w:sz w:val="24"/>
    </w:rPr>
  </w:style>
  <w:style w:type="paragraph" w:styleId="Outline0021Body">
    <w:name w:val="Outline002_1 Body"/>
    <w:basedOn w:val="Normal"/>
    <w:next w:val="Outline0021"/>
    <w:qFormat/>
    <w:pPr>
      <w:widowControl w:val="false"/>
      <w:tabs>
        <w:tab w:val="left" w:pos="0" w:leader="none"/>
        <w:tab w:val="left" w:pos="720" w:leader="none"/>
      </w:tabs>
      <w:autoSpaceDE w:val="false"/>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ierrapacificresources.com/" TargetMode="External"/><Relationship Id="rId3" Type="http://schemas.openxmlformats.org/officeDocument/2006/relationships/hyperlink" Target="mailto:Cberg@sppc.com" TargetMode="External"/><Relationship Id="rId4" Type="http://schemas.openxmlformats.org/officeDocument/2006/relationships/hyperlink" Target="http://www.swoasis.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2001-01-30T15:51:00Z</dcterms:created>
  <dc:creator>SPPCo</dc:creator>
  <dc:description/>
  <dc:language>en-CA</dc:language>
  <cp:lastModifiedBy>Craig Berg</cp:lastModifiedBy>
  <cp:lastPrinted>2001-01-25T16:31:00Z</cp:lastPrinted>
  <dcterms:modified xsi:type="dcterms:W3CDTF">2001-01-30T15:51:00Z</dcterms:modified>
  <cp:revision>2</cp:revision>
  <dc:subject/>
  <dc:title>DISCUSSION DOCUMENT FOR FULL REQUIREMENTS SUPPLY</dc:title>
</cp:coreProperties>
</file>