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b/>
        <w:tab/>
        <w:tab/>
        <w:tab/>
      </w:r>
    </w:p>
    <w:p>
      <w:pPr>
        <w:pStyle w:val="Normal"/>
        <w:rPr>
          <w:sz w:val="22"/>
        </w:rPr>
      </w:pPr>
      <w:r>
        <w:rPr>
          <w:sz w:val="22"/>
        </w:rPr>
      </w:r>
    </w:p>
    <w:p>
      <w:pPr>
        <w:pStyle w:val="Normal"/>
        <w:rPr>
          <w:sz w:val="22"/>
        </w:rPr>
      </w:pPr>
      <w:r>
        <w:rPr>
          <w:sz w:val="22"/>
        </w:rPr>
      </w:r>
    </w:p>
    <w:p>
      <w:pPr>
        <w:pStyle w:val="Normal"/>
        <w:rPr>
          <w:sz w:val="22"/>
        </w:rPr>
      </w:pPr>
      <w:r>
        <w:rPr>
          <w:sz w:val="22"/>
        </w:rPr>
        <w:t>November 13, 2000</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Attn:</w:t>
      </w:r>
    </w:p>
    <w:p>
      <w:pPr>
        <w:pStyle w:val="Style12"/>
        <w:rPr>
          <w:rFonts w:ascii="Times New Roman" w:hAnsi="Times New Roman" w:cs="Times New Roman"/>
          <w:sz w:val="22"/>
        </w:rPr>
      </w:pPr>
      <w:r>
        <w:rPr>
          <w:rFonts w:cs="Times New Roman" w:ascii="Times New Roman" w:hAnsi="Times New Roman"/>
          <w:sz w:val="22"/>
        </w:rPr>
      </w:r>
    </w:p>
    <w:p>
      <w:pPr>
        <w:pStyle w:val="Normal"/>
        <w:rPr>
          <w:sz w:val="22"/>
        </w:rPr>
      </w:pPr>
      <w:r>
        <w:rPr>
          <w:sz w:val="22"/>
        </w:rPr>
        <w:t xml:space="preserve">Phone: </w:t>
      </w:r>
    </w:p>
    <w:p>
      <w:pPr>
        <w:pStyle w:val="Normal"/>
        <w:rPr>
          <w:sz w:val="22"/>
        </w:rPr>
      </w:pPr>
      <w:r>
        <w:rPr>
          <w:sz w:val="22"/>
        </w:rPr>
        <w:t xml:space="preserve"> </w:t>
      </w:r>
      <w:r>
        <w:rPr>
          <w:sz w:val="22"/>
        </w:rPr>
        <w:t xml:space="preserve">Fax: </w:t>
      </w:r>
    </w:p>
    <w:p>
      <w:pPr>
        <w:pStyle w:val="Normal"/>
        <w:rPr>
          <w:sz w:val="22"/>
        </w:rPr>
      </w:pPr>
      <w:r>
        <w:rPr>
          <w:sz w:val="22"/>
        </w:rPr>
      </w:r>
    </w:p>
    <w:p>
      <w:pPr>
        <w:pStyle w:val="Normal"/>
        <w:jc w:val="center"/>
        <w:rPr>
          <w:spacing w:val="-2"/>
          <w:sz w:val="24"/>
          <w:lang w:val="en-GB"/>
        </w:rPr>
      </w:pPr>
      <w:r>
        <w:rPr>
          <w:b/>
          <w:sz w:val="24"/>
          <w:u w:val="single"/>
        </w:rPr>
        <w:t>Subject:  Crude Oil Swap Transaction Draft Confirmation (Reference: TBD)</w:t>
      </w:r>
    </w:p>
    <w:p>
      <w:pPr>
        <w:pStyle w:val="Heading4"/>
        <w:ind w:hanging="0" w:start="0"/>
        <w:rPr/>
      </w:pPr>
      <w:r>
        <w:rPr/>
        <w:t>Indicative terms</w:t>
      </w:r>
    </w:p>
    <w:p>
      <w:pPr>
        <w:pStyle w:val="Normal"/>
        <w:rPr/>
      </w:pPr>
      <w:r>
        <w:rPr/>
      </w:r>
    </w:p>
    <w:p>
      <w:pPr>
        <w:pStyle w:val="Normal"/>
        <w:spacing w:lineRule="atLeast" w:line="240"/>
        <w:rPr>
          <w:color w:val="000000"/>
          <w:sz w:val="22"/>
          <w:lang w:eastAsia="en-US"/>
        </w:rPr>
      </w:pPr>
      <w:r>
        <w:rPr>
          <w:color w:val="000000"/>
          <w:sz w:val="22"/>
          <w:lang w:eastAsia="en-US"/>
        </w:rPr>
        <w:t>We are pleased to confirm the details of the following Transaction.</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color w:val="000000"/>
          <w:sz w:val="22"/>
          <w:lang w:eastAsia="en-US"/>
        </w:rPr>
      </w:pPr>
      <w:r>
        <w:rPr>
          <w:color w:val="000000"/>
          <w:sz w:val="22"/>
          <w:lang w:eastAsia="en-US"/>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ISDA Master Agreement as specified below. This Confirmation supersedes any previous Confirmation or other communication with respect to the Transaction and evidences a complete and binding agreement between us as to the terms of the Transaction.</w:t>
      </w:r>
    </w:p>
    <w:p>
      <w:pPr>
        <w:pStyle w:val="Normal"/>
        <w:spacing w:lineRule="atLeast" w:line="240"/>
        <w:jc w:val="both"/>
        <w:rPr>
          <w:color w:val="000000"/>
          <w:sz w:val="22"/>
          <w:lang w:eastAsia="en-US"/>
        </w:rPr>
      </w:pPr>
      <w:r>
        <w:rPr>
          <w:color w:val="000000"/>
          <w:sz w:val="22"/>
          <w:lang w:eastAsia="en-US"/>
        </w:rPr>
      </w:r>
    </w:p>
    <w:p>
      <w:pPr>
        <w:pStyle w:val="Normal"/>
        <w:tabs>
          <w:tab w:val="clear" w:pos="720"/>
          <w:tab w:val="left" w:pos="-720" w:leader="none"/>
        </w:tabs>
        <w:suppressAutoHyphens w:val="true"/>
        <w:jc w:val="both"/>
        <w:rPr/>
      </w:pPr>
      <w:r>
        <w:rPr>
          <w:spacing w:val="-2"/>
          <w:sz w:val="22"/>
          <w:lang w:val="en-GB"/>
        </w:rPr>
        <w:t>The definitions and provisions contained in the 2000 ISDA Definitions and the 1993 ISDA Commodity Derivatives Definition published by the International Swaps and Derivatives Association, Inc. (the “Definitions</w:t>
      </w:r>
      <w:r>
        <w:rPr>
          <w:spacing w:val="-2"/>
          <w:sz w:val="22"/>
          <w:lang w:val="en-CA"/>
        </w:rPr>
        <w:t>”)</w:t>
      </w:r>
      <w:r>
        <w:rPr>
          <w:spacing w:val="-2"/>
          <w:sz w:val="22"/>
          <w:lang w:val="en-GB"/>
        </w:rPr>
        <w:t xml:space="preserve"> are incorporated by reference into this Confirmation and the Transaction is subject to the terms and conditions of the 1992 ISDA Master Agreement published by the International Swaps and Derivatives Association, Inc. (the “ISDA Agreement”).  In the event of any inconsistency among or between the ISDA Agreement, the Definitions and this Confirmation, this Confirmation will govern.</w:t>
      </w:r>
    </w:p>
    <w:p>
      <w:pPr>
        <w:pStyle w:val="Normal"/>
        <w:spacing w:lineRule="atLeast" w:line="240"/>
        <w:jc w:val="both"/>
        <w:rPr>
          <w:color w:val="000000"/>
          <w:spacing w:val="-2"/>
          <w:sz w:val="22"/>
          <w:lang w:val="en-GB" w:eastAsia="en-US"/>
        </w:rPr>
      </w:pPr>
      <w:r>
        <w:rPr>
          <w:color w:val="000000"/>
          <w:spacing w:val="-2"/>
          <w:sz w:val="22"/>
          <w:lang w:val="en-GB" w:eastAsia="en-US"/>
        </w:rPr>
      </w:r>
    </w:p>
    <w:p>
      <w:pPr>
        <w:pStyle w:val="Normal"/>
        <w:tabs>
          <w:tab w:val="clear" w:pos="720"/>
          <w:tab w:val="left" w:pos="2610" w:leader="none"/>
        </w:tabs>
        <w:jc w:val="both"/>
        <w:rPr>
          <w:spacing w:val="-3"/>
          <w:sz w:val="22"/>
          <w:lang w:val="en-GB"/>
        </w:rPr>
      </w:pPr>
      <w:r>
        <w:rPr>
          <w:spacing w:val="-3"/>
          <w:sz w:val="22"/>
          <w:lang w:val="en-GB"/>
        </w:rPr>
        <w:t>This Confirmation supplements, forms part of, and is subject to, the ISDA Master Agreement dated as of December 18, 1998 as amended and supplemented from time to time (the “Agreement”), between you and us.  All provisions contained in the Agreement govern this Confirmation except as expressly modified below.</w:t>
      </w:r>
    </w:p>
    <w:p>
      <w:pPr>
        <w:pStyle w:val="Style12"/>
        <w:jc w:val="both"/>
        <w:rPr>
          <w:rFonts w:ascii="Times New Roman" w:hAnsi="Times New Roman" w:cs="Times New Roman"/>
          <w:color w:val="000000"/>
          <w:spacing w:val="-3"/>
          <w:sz w:val="22"/>
          <w:lang w:val="en-GB" w:eastAsia="en-US"/>
        </w:rPr>
      </w:pPr>
      <w:r>
        <w:rPr>
          <w:rFonts w:cs="Times New Roman" w:ascii="Times New Roman" w:hAnsi="Times New Roman"/>
          <w:color w:val="000000"/>
          <w:spacing w:val="-3"/>
          <w:sz w:val="22"/>
          <w:lang w:val="en-GB" w:eastAsia="en-US"/>
        </w:rPr>
      </w:r>
    </w:p>
    <w:p>
      <w:pPr>
        <w:pStyle w:val="Style12"/>
        <w:jc w:val="both"/>
        <w:rPr>
          <w:rFonts w:ascii="Times New Roman" w:hAnsi="Times New Roman" w:cs="Times New Roman"/>
        </w:rPr>
      </w:pPr>
      <w:r>
        <w:rPr>
          <w:rFonts w:cs="Times New Roman" w:ascii="Times New Roman" w:hAnsi="Times New Roman"/>
        </w:rPr>
        <w:t xml:space="preserve">Each party represents to the other that it is entering into this Transaction as principal (and not as agent or in any other capacity) with the full understanding of the terms, conditions and risks thereof and that it is capable of and willing to assume those risks. </w:t>
      </w:r>
    </w:p>
    <w:p>
      <w:pPr>
        <w:pStyle w:val="Normal"/>
        <w:tabs>
          <w:tab w:val="clear" w:pos="720"/>
          <w:tab w:val="left" w:pos="0" w:leader="none"/>
        </w:tabs>
        <w:spacing w:lineRule="atLeast" w:line="240"/>
        <w:jc w:val="both"/>
        <w:rPr>
          <w:rFonts w:ascii="Times New Roman" w:hAnsi="Times New Roman" w:cs="Times New Roman"/>
          <w:color w:val="000000"/>
          <w:sz w:val="22"/>
          <w:lang w:eastAsia="en-US"/>
        </w:rPr>
      </w:pPr>
      <w:r>
        <w:rPr>
          <w:rFonts w:cs="Times New Roman"/>
          <w:color w:val="000000"/>
          <w:sz w:val="22"/>
          <w:lang w:eastAsia="en-US"/>
        </w:rPr>
      </w:r>
    </w:p>
    <w:p>
      <w:pPr>
        <w:pStyle w:val="Normal"/>
        <w:jc w:val="both"/>
        <w:rPr>
          <w:color w:val="000000"/>
          <w:sz w:val="22"/>
          <w:lang w:eastAsia="en-US"/>
        </w:rPr>
      </w:pPr>
      <w:r>
        <w:rPr>
          <w:color w:val="000000"/>
          <w:sz w:val="22"/>
          <w:lang w:eastAsia="en-US"/>
        </w:rPr>
        <w:t>The terms of the particular Transaction to which this Confirmation relates are as follows:</w:t>
      </w:r>
    </w:p>
    <w:p>
      <w:pPr>
        <w:pStyle w:val="Normal"/>
        <w:jc w:val="both"/>
        <w:rPr>
          <w:color w:val="000000"/>
          <w:sz w:val="22"/>
          <w:lang w:eastAsia="en-US"/>
        </w:rPr>
      </w:pPr>
      <w:r>
        <w:rPr>
          <w:color w:val="000000"/>
          <w:sz w:val="22"/>
          <w:lang w:eastAsia="en-US"/>
        </w:rPr>
      </w:r>
    </w:p>
    <w:p>
      <w:pPr>
        <w:pStyle w:val="Normal"/>
        <w:tabs>
          <w:tab w:val="clear" w:pos="720"/>
          <w:tab w:val="left" w:pos="-720" w:leader="none"/>
        </w:tabs>
        <w:suppressAutoHyphens w:val="true"/>
        <w:jc w:val="both"/>
        <w:rPr>
          <w:color w:val="000000"/>
          <w:spacing w:val="-2"/>
          <w:sz w:val="22"/>
          <w:lang w:val="en-GB" w:eastAsia="en-US"/>
        </w:rPr>
      </w:pPr>
      <w:r>
        <w:rPr>
          <w:color w:val="000000"/>
          <w:spacing w:val="-2"/>
          <w:sz w:val="22"/>
          <w:lang w:val="en-GB" w:eastAsia="en-US"/>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z w:val="22"/>
          <w:lang w:val="en-GB"/>
        </w:rPr>
      </w:pPr>
      <w:r>
        <w:rPr>
          <w:sz w:val="22"/>
          <w:lang w:val="en-GB"/>
        </w:rPr>
        <w:t>Total Notional Quantity:</w:t>
        <w:tab/>
        <w:tab/>
        <w:t>[     ] barrels</w:t>
      </w:r>
    </w:p>
    <w:p>
      <w:pPr>
        <w:pStyle w:val="Normal"/>
        <w:jc w:val="both"/>
        <w:rPr>
          <w:sz w:val="22"/>
          <w:lang w:val="en-GB"/>
        </w:rPr>
      </w:pPr>
      <w:r>
        <w:rPr>
          <w:sz w:val="22"/>
          <w:lang w:val="en-GB"/>
        </w:rPr>
      </w:r>
    </w:p>
    <w:p>
      <w:pPr>
        <w:pStyle w:val="Normal"/>
        <w:jc w:val="both"/>
        <w:rPr>
          <w:sz w:val="22"/>
          <w:lang w:val="en-GB"/>
        </w:rPr>
      </w:pPr>
      <w:r>
        <w:rPr>
          <w:sz w:val="22"/>
          <w:lang w:val="en-GB"/>
        </w:rPr>
        <w:t>Notional Quantity per</w:t>
      </w:r>
    </w:p>
    <w:p>
      <w:pPr>
        <w:pStyle w:val="Normal"/>
        <w:jc w:val="both"/>
        <w:rPr>
          <w:sz w:val="22"/>
          <w:lang w:val="en-GB"/>
        </w:rPr>
      </w:pPr>
      <w:r>
        <w:rPr>
          <w:sz w:val="22"/>
          <w:lang w:val="en-GB"/>
        </w:rPr>
        <w:t>Calculation Period:</w:t>
        <w:tab/>
        <w:tab/>
        <w:tab/>
        <w:t>[     ] barrels</w:t>
      </w:r>
    </w:p>
    <w:p>
      <w:pPr>
        <w:pStyle w:val="Normal"/>
        <w:jc w:val="both"/>
        <w:rPr>
          <w:sz w:val="22"/>
          <w:lang w:val="en-GB"/>
        </w:rPr>
      </w:pPr>
      <w:r>
        <w:rPr>
          <w:sz w:val="22"/>
          <w:lang w:val="en-GB"/>
        </w:rPr>
      </w:r>
    </w:p>
    <w:p>
      <w:pPr>
        <w:pStyle w:val="Normal"/>
        <w:jc w:val="both"/>
        <w:rPr>
          <w:sz w:val="22"/>
          <w:lang w:val="en-GB"/>
        </w:rPr>
      </w:pPr>
      <w:r>
        <w:rPr>
          <w:sz w:val="22"/>
          <w:lang w:val="en-GB"/>
        </w:rPr>
        <w:t>Commodity:</w:t>
        <w:tab/>
        <w:tab/>
        <w:tab/>
        <w:tab/>
        <w:t>West Texas Intermediate Light Sweet Crude Oil</w:t>
      </w:r>
    </w:p>
    <w:p>
      <w:pPr>
        <w:pStyle w:val="Normal"/>
        <w:jc w:val="both"/>
        <w:rPr>
          <w:sz w:val="22"/>
          <w:lang w:val="en-GB"/>
        </w:rPr>
      </w:pPr>
      <w:r>
        <w:rPr>
          <w:sz w:val="22"/>
          <w:lang w:val="en-GB"/>
        </w:rPr>
      </w:r>
    </w:p>
    <w:p>
      <w:pPr>
        <w:pStyle w:val="Normal"/>
        <w:jc w:val="both"/>
        <w:rPr>
          <w:sz w:val="22"/>
          <w:lang w:val="en-GB"/>
        </w:rPr>
      </w:pPr>
      <w:r>
        <w:rPr>
          <w:sz w:val="22"/>
          <w:lang w:val="en-GB"/>
        </w:rPr>
        <w:t>Trade Date:</w:t>
        <w:tab/>
        <w:tab/>
        <w:tab/>
        <w:tab/>
        <w:t>TBD</w:t>
      </w:r>
    </w:p>
    <w:p>
      <w:pPr>
        <w:pStyle w:val="Normal"/>
        <w:jc w:val="both"/>
        <w:rPr>
          <w:sz w:val="22"/>
          <w:lang w:val="en-GB"/>
        </w:rPr>
      </w:pPr>
      <w:r>
        <w:rPr>
          <w:sz w:val="22"/>
          <w:lang w:val="en-GB"/>
        </w:rPr>
      </w:r>
    </w:p>
    <w:p>
      <w:pPr>
        <w:pStyle w:val="Normal"/>
        <w:jc w:val="both"/>
        <w:rPr>
          <w:sz w:val="22"/>
          <w:lang w:val="en-GB"/>
        </w:rPr>
      </w:pPr>
      <w:r>
        <w:rPr>
          <w:sz w:val="22"/>
          <w:lang w:val="en-GB"/>
        </w:rPr>
        <w:t>Effective Date:</w:t>
        <w:tab/>
        <w:tab/>
        <w:tab/>
        <w:tab/>
        <w:t>TBD</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Termination Date:</w:t>
        <w:tab/>
        <w:t>Effective Date + [ ]  years, subject to adjustment in accordance with the Modified Following Business Day Convention</w:t>
      </w:r>
    </w:p>
    <w:p>
      <w:pPr>
        <w:pStyle w:val="Normal"/>
        <w:jc w:val="both"/>
        <w:rPr>
          <w:sz w:val="22"/>
          <w:lang w:val="en-GB"/>
        </w:rPr>
      </w:pPr>
      <w:r>
        <w:rPr>
          <w:sz w:val="22"/>
          <w:lang w:val="en-GB"/>
        </w:rPr>
      </w:r>
    </w:p>
    <w:p>
      <w:pPr>
        <w:pStyle w:val="Normal"/>
        <w:ind w:hanging="3600" w:start="3600" w:end="0"/>
        <w:jc w:val="both"/>
        <w:rPr>
          <w:b/>
          <w:sz w:val="22"/>
          <w:u w:val="single"/>
        </w:rPr>
      </w:pPr>
      <w:r>
        <w:rPr>
          <w:sz w:val="22"/>
          <w:lang w:val="en-GB"/>
        </w:rPr>
        <w:t>Calculation Period(s):</w:t>
        <w:tab/>
        <w:t>C</w:t>
      </w:r>
      <w:r>
        <w:rPr>
          <w:sz w:val="22"/>
        </w:rPr>
        <w:t xml:space="preserve">onsecutive periods of three calendar months commencing on the [   ] th day of each three month period, provided that the initial Calculation Period shall commence on, and include, the Effective Date and the final Calculation Period shall end on, and include, the Termination Date. </w:t>
      </w:r>
    </w:p>
    <w:p>
      <w:pPr>
        <w:pStyle w:val="Normal"/>
        <w:jc w:val="both"/>
        <w:rPr>
          <w:b/>
          <w:sz w:val="22"/>
          <w:u w:val="single"/>
          <w:lang w:val="en-GB"/>
        </w:rPr>
      </w:pPr>
      <w:r>
        <w:rPr>
          <w:b/>
          <w:sz w:val="22"/>
          <w:u w:val="single"/>
          <w:lang w:val="en-GB"/>
        </w:rPr>
      </w:r>
    </w:p>
    <w:p>
      <w:pPr>
        <w:pStyle w:val="Normal"/>
        <w:jc w:val="both"/>
        <w:rPr>
          <w:b/>
          <w:sz w:val="22"/>
          <w:u w:val="single"/>
          <w:lang w:val="en-GB"/>
        </w:rPr>
      </w:pPr>
      <w:r>
        <w:rPr>
          <w:b/>
          <w:sz w:val="22"/>
          <w:u w:val="single"/>
          <w:lang w:val="en-GB"/>
        </w:rPr>
      </w:r>
    </w:p>
    <w:p>
      <w:pPr>
        <w:pStyle w:val="Normal"/>
        <w:jc w:val="both"/>
        <w:rPr>
          <w:sz w:val="22"/>
          <w:lang w:val="en-GB"/>
        </w:rPr>
      </w:pPr>
      <w:r>
        <w:rPr>
          <w:b/>
          <w:sz w:val="22"/>
          <w:u w:val="single"/>
          <w:lang w:val="en-GB"/>
        </w:rPr>
        <w:t>Fixed Payment Details</w:t>
      </w:r>
    </w:p>
    <w:p>
      <w:pPr>
        <w:pStyle w:val="Normal"/>
        <w:jc w:val="both"/>
        <w:rPr>
          <w:sz w:val="22"/>
          <w:lang w:val="en-GB"/>
        </w:rPr>
      </w:pPr>
      <w:r>
        <w:rPr>
          <w:sz w:val="22"/>
          <w:lang w:val="en-GB"/>
        </w:rPr>
      </w:r>
    </w:p>
    <w:p>
      <w:pPr>
        <w:pStyle w:val="Normal"/>
        <w:jc w:val="both"/>
        <w:rPr>
          <w:sz w:val="22"/>
          <w:lang w:val="en-GB"/>
        </w:rPr>
      </w:pPr>
      <w:r>
        <w:rPr>
          <w:sz w:val="22"/>
          <w:lang w:val="en-GB"/>
        </w:rPr>
        <w:t>Fixed Price Payer:</w:t>
        <w:tab/>
        <w:tab/>
        <w:tab/>
        <w:t>Toronto-Dominion (Texas), Inc.</w:t>
      </w:r>
    </w:p>
    <w:p>
      <w:pPr>
        <w:pStyle w:val="Normal"/>
        <w:jc w:val="both"/>
        <w:rPr>
          <w:sz w:val="22"/>
          <w:lang w:val="en-GB"/>
        </w:rPr>
      </w:pPr>
      <w:r>
        <w:rPr>
          <w:sz w:val="22"/>
          <w:lang w:val="en-GB"/>
        </w:rPr>
      </w:r>
    </w:p>
    <w:p>
      <w:pPr>
        <w:pStyle w:val="Normal"/>
        <w:jc w:val="both"/>
        <w:rPr>
          <w:sz w:val="22"/>
          <w:lang w:val="en-GB"/>
        </w:rPr>
      </w:pPr>
      <w:r>
        <w:rPr>
          <w:sz w:val="22"/>
          <w:lang w:val="en-GB"/>
        </w:rPr>
        <w:t>Fixed Amount:</w:t>
        <w:tab/>
        <w:tab/>
        <w:tab/>
        <w:tab/>
        <w:t>[USD 400,000,000]</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Fixed Payment Date:</w:t>
        <w:tab/>
        <w:t>The Effective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Rounding:</w:t>
        <w:tab/>
        <w:t>Four (4) decimal places</w:t>
      </w:r>
    </w:p>
    <w:p>
      <w:pPr>
        <w:pStyle w:val="Normal"/>
        <w:ind w:hanging="3600" w:start="3600" w:end="0"/>
        <w:jc w:val="both"/>
        <w:rPr>
          <w:sz w:val="22"/>
          <w:lang w:val="en-GB"/>
        </w:rPr>
      </w:pPr>
      <w:r>
        <w:rPr>
          <w:sz w:val="22"/>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b/>
          <w:sz w:val="22"/>
          <w:u w:val="single"/>
          <w:lang w:val="en-GB"/>
        </w:rPr>
        <w:t>Floating Amount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Price Payer:</w:t>
        <w:tab/>
        <w:t>Enron North America Corp.</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Price:</w:t>
        <w:tab/>
        <w:t>To be based on the average of the daily NYMEX-WTI Crude Oil settlement prices for the December 2002 contract in any given Calculation Period</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Floating Amount:</w:t>
        <w:tab/>
        <w:t>The Floating Amount in respect of a Calculation Period shall be the product of (i) the Notional Quantity per Calculation Period and (ii) the Floating Price in respect of such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Payment Dates:</w:t>
        <w:tab/>
        <w:t>Amounts owed in respect of a Calculation Period shall be due and payable on the fifth Business Day following the last pricing date for the applicable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b/>
          <w:sz w:val="22"/>
          <w:u w:val="single"/>
          <w:lang w:val="en-GB"/>
        </w:rPr>
      </w:pPr>
      <w:r>
        <w:rPr>
          <w:b/>
          <w:sz w:val="22"/>
          <w:u w:val="single"/>
          <w:lang w:val="en-GB"/>
        </w:rPr>
        <w:t>Principal Repayment Details:</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sz w:val="22"/>
          <w:lang w:val="en-GB"/>
        </w:rPr>
        <w:t>Principal Repayment Payer:</w:t>
        <w:tab/>
        <w:t>Enron North America Corp.</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Price:</w:t>
        <w:tab/>
        <w:t>To be based on the average of the daily NYMEX-WTI Crude Oil settlement prices from, and including, the Effective Date to, and including, the Termination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Amount:</w:t>
        <w:tab/>
        <w:t>The Principal Repayment Amount on the Termination Date shall be the product of (i) the Total Notional Quantity and (ii) the Principal Repayment Price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Date:</w:t>
        <w:tab/>
        <w:t>The Termination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Rounding:</w:t>
        <w:tab/>
        <w:t>Four (4) decimal places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Business Days:</w:t>
        <w:tab/>
        <w:t>New York</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Netting of Payments:</w:t>
        <w:tab/>
        <w:t>Applicable in respect of this Transaction</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Business Day Convention:</w:t>
        <w:tab/>
        <w:t>Following Business Day</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Calculation Agent:</w:t>
        <w:tab/>
        <w:t>Toronto-Dominion (Texas), Inc.</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pPr>
      <w:r>
        <w:rPr>
          <w:b/>
          <w:sz w:val="22"/>
          <w:u w:val="single"/>
          <w:lang w:val="en-GB"/>
        </w:rPr>
        <w:t>Fee:</w:t>
      </w:r>
      <w:r>
        <w:rPr>
          <w:b/>
          <w:sz w:val="22"/>
          <w:lang w:val="en-GB"/>
        </w:rPr>
        <w:tab/>
      </w:r>
      <w:r>
        <w:rPr>
          <w:sz w:val="22"/>
          <w:lang w:val="en-GB"/>
        </w:rPr>
        <w:t>Enron North America Inc. shall pay to Toronto-Dominion (Texas), Inc. USD [ upfront fee amount ]  on the Effective Date</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pPr>
      <w:r>
        <w:rPr>
          <w:b/>
          <w:sz w:val="22"/>
          <w:u w:val="single"/>
          <w:lang w:val="en-GB"/>
        </w:rPr>
        <w:t>Disruption Fallbacks:</w:t>
      </w:r>
      <w:r>
        <w:rPr>
          <w:sz w:val="22"/>
          <w:lang w:val="en-GB"/>
        </w:rPr>
        <w:tab/>
        <w:t>The parties agree that should a Market Disruption Event or Additional Market Disruption Event (a “Disruption Event”) occur or exist on a day that is a Pricing Date, the Pricing Date will be deemed to be the first succeeding Commodity Business Day on which the Disruption Event ceases to exist, provided, however, that if the Disruption Event continues to exist for three consecutive Commodity Business Days, then each party will negotiated in good faith to agree with the other on a Relevant Price (or a method of determining a Relevant Price).</w:t>
      </w:r>
    </w:p>
    <w:p>
      <w:pPr>
        <w:pStyle w:val="Normal"/>
        <w:ind w:hanging="3600" w:start="3600" w:end="0"/>
        <w:jc w:val="both"/>
        <w:rPr>
          <w:sz w:val="22"/>
          <w:lang w:val="en-GB"/>
        </w:rPr>
      </w:pPr>
      <w:r>
        <w:rPr>
          <w:sz w:val="22"/>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b/>
          <w:sz w:val="22"/>
          <w:u w:val="single"/>
          <w:lang w:val="en-GB"/>
        </w:rPr>
        <w:t>Account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Toronto-Dominion (Texas), Inc.:</w:t>
        <w:tab/>
        <w:tab/>
        <w:t>To be provided</w:t>
      </w:r>
    </w:p>
    <w:p>
      <w:pPr>
        <w:pStyle w:val="Normal"/>
        <w:ind w:hanging="3600" w:start="3600" w:end="0"/>
        <w:jc w:val="both"/>
        <w:rPr>
          <w:sz w:val="22"/>
          <w:lang w:val="en-GB"/>
        </w:rPr>
      </w:pPr>
      <w:r>
        <w:rPr>
          <w:sz w:val="22"/>
          <w:lang w:val="en-GB"/>
        </w:rPr>
        <w:tab/>
        <w:tab/>
        <w:tab/>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Enron North America Corp.</w:t>
        <w:tab/>
        <w:tab/>
        <w:t>Please Advise</w:t>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rFonts w:ascii="Times New Roman" w:hAnsi="Times New Roman" w:cs="Times New Roman"/>
          <w:spacing w:val="-3"/>
          <w:sz w:val="22"/>
          <w:lang w:val="en-GB"/>
        </w:rPr>
      </w:pPr>
      <w:r>
        <w:rPr>
          <w:rFonts w:cs="Times New Roman" w:ascii="Times New Roman" w:hAnsi="Times New Roman"/>
          <w:spacing w:val="-3"/>
          <w:sz w:val="22"/>
          <w:lang w:val="en-GB"/>
        </w:rPr>
      </w:r>
      <w:r>
        <w:br w:type="page"/>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pPr>
      <w:r>
        <w:rPr>
          <w:rFonts w:cs="Times New Roman" w:ascii="Times New Roman" w:hAnsi="Times New Roman"/>
          <w:spacing w:val="-3"/>
          <w:lang w:val="en-GB"/>
        </w:rPr>
        <w:t>This Confirmation may be executed in o</w:t>
        <w:tab/>
        <w:t>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r>
        <w:rPr>
          <w:rFonts w:cs="Times New Roman" w:ascii="Times New Roman" w:hAnsi="Times New Roman"/>
        </w:rPr>
        <w:t>.</w:t>
      </w:r>
    </w:p>
    <w:p>
      <w:pPr>
        <w:pStyle w:val="Normal"/>
        <w:ind w:hanging="3600" w:start="3600" w:end="0"/>
        <w:jc w:val="both"/>
        <w:rPr>
          <w:rFonts w:ascii="Times New Roman" w:hAnsi="Times New Roman" w:cs="Times New Roman"/>
          <w:sz w:val="22"/>
          <w:lang w:val="en-GB"/>
        </w:rPr>
      </w:pPr>
      <w:r>
        <w:rPr>
          <w:rFonts w:cs="Times New Roman"/>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 xml:space="preserve">Please confirm that the foregoing correctly sets forth the terms of our agreement by executing a copy of </w:t>
      </w:r>
    </w:p>
    <w:p>
      <w:pPr>
        <w:pStyle w:val="Normal"/>
        <w:jc w:val="both"/>
        <w:rPr/>
      </w:pPr>
      <w:r>
        <w:rPr>
          <w:sz w:val="22"/>
          <w:lang w:val="en-GB"/>
        </w:rPr>
        <w:t xml:space="preserve">this Confirmation and returning it to us by facsimile to The Toronto-Dominion Bank, Derivative Operations and Technology, Attention: Jennifer Yoon, Facsimile </w:t>
      </w:r>
      <w:r>
        <w:rPr>
          <w:b/>
          <w:sz w:val="22"/>
          <w:lang w:val="en-GB"/>
        </w:rPr>
        <w:t>(416) 982-6796</w:t>
      </w:r>
      <w:r>
        <w:rPr>
          <w:sz w:val="22"/>
          <w:lang w:val="en-GB"/>
        </w:rPr>
        <w:t>.</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We are delighted to have entered into this transaction with you.</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Yours sincerely,</w:t>
      </w:r>
    </w:p>
    <w:p>
      <w:pPr>
        <w:pStyle w:val="Normal"/>
        <w:ind w:hanging="3600" w:start="3600" w:end="0"/>
        <w:jc w:val="both"/>
        <w:rPr>
          <w:sz w:val="22"/>
          <w:lang w:val="en-GB"/>
        </w:rPr>
      </w:pPr>
      <w:r>
        <w:rPr>
          <w:sz w:val="22"/>
          <w:lang w:val="en-GB"/>
        </w:rPr>
      </w:r>
    </w:p>
    <w:p>
      <w:pPr>
        <w:pStyle w:val="Heading1"/>
        <w:rPr/>
      </w:pPr>
      <w:r>
        <w:rPr/>
        <w:t>Toronto-Dominion (Texas),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Confirmed as of the date</w:t>
      </w:r>
    </w:p>
    <w:p>
      <w:pPr>
        <w:pStyle w:val="Normal"/>
        <w:ind w:hanging="3600" w:start="3600" w:end="0"/>
        <w:jc w:val="both"/>
        <w:rPr>
          <w:sz w:val="22"/>
          <w:lang w:val="en-GB"/>
        </w:rPr>
      </w:pPr>
      <w:r>
        <w:rPr>
          <w:sz w:val="22"/>
          <w:lang w:val="en-GB"/>
        </w:rPr>
        <w:t>first above written:</w:t>
      </w:r>
    </w:p>
    <w:p>
      <w:pPr>
        <w:pStyle w:val="Normal"/>
        <w:ind w:hanging="3600" w:start="3600" w:end="0"/>
        <w:jc w:val="both"/>
        <w:rPr>
          <w:sz w:val="22"/>
          <w:lang w:val="en-GB"/>
        </w:rPr>
      </w:pPr>
      <w:r>
        <w:rPr>
          <w:sz w:val="22"/>
          <w:lang w:val="en-GB"/>
        </w:rPr>
      </w:r>
    </w:p>
    <w:p>
      <w:pPr>
        <w:pStyle w:val="Heading1"/>
        <w:rPr/>
      </w:pPr>
      <w:r>
        <w:rPr/>
        <w:t>Enron North America Corp.</w:t>
      </w:r>
    </w:p>
    <w:p>
      <w:pPr>
        <w:pStyle w:val="Normal"/>
        <w:rPr/>
      </w:pPr>
      <w:r>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rPr/>
      </w:pPr>
      <w:r>
        <w:rPr/>
      </w:r>
    </w:p>
    <w:p>
      <w:pPr>
        <w:pStyle w:val="Normal"/>
        <w:rPr/>
      </w:pPr>
      <w:r>
        <w:rPr/>
      </w:r>
    </w:p>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3600" w:start="3600" w:end="0"/>
      <w:jc w:val="both"/>
      <w:outlineLvl w:val="0"/>
    </w:pPr>
    <w:rPr>
      <w:b/>
      <w:sz w:val="22"/>
      <w:lang w:val="en-GB"/>
    </w:rPr>
  </w:style>
  <w:style w:type="paragraph" w:styleId="Heading4">
    <w:name w:val="heading 4"/>
    <w:basedOn w:val="Normal"/>
    <w:next w:val="Normal"/>
    <w:qFormat/>
    <w:pPr>
      <w:keepNext w:val="true"/>
      <w:numPr>
        <w:ilvl w:val="3"/>
        <w:numId w:val="1"/>
      </w:numPr>
      <w:suppressAutoHyphens w:val="true"/>
      <w:jc w:val="center"/>
      <w:outlineLvl w:val="3"/>
    </w:pPr>
    <w:rPr>
      <w:i/>
      <w:spacing w:val="-2"/>
      <w:sz w:val="22"/>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2">
    <w:name w:val="Style1"/>
    <w:basedOn w:val="Normal"/>
    <w:qFormat/>
    <w:pPr/>
    <w:rPr>
      <w:rFonts w:ascii="Univers (W1)" w:hAnsi="Univers (W1)" w:cs="Univers (W1)"/>
      <w:sz w:val="22"/>
    </w:rPr>
  </w:style>
  <w:style w:type="paragraph" w:styleId="BodyTextIndent2">
    <w:name w:val="Body Text Indent 2"/>
    <w:basedOn w:val="Normal"/>
    <w:qFormat/>
    <w:pPr>
      <w:widowControl w:val="false"/>
      <w:tabs>
        <w:tab w:val="clear" w:pos="720"/>
        <w:tab w:val="left" w:pos="1440" w:leader="none"/>
        <w:tab w:val="right" w:pos="3888" w:leader="none"/>
        <w:tab w:val="left" w:pos="4282" w:leader="none"/>
        <w:tab w:val="left" w:pos="5040" w:leader="none"/>
        <w:tab w:val="left" w:pos="5760" w:leader="none"/>
      </w:tabs>
      <w:ind w:hanging="4275" w:start="4275" w:end="0"/>
    </w:pPr>
    <w:rPr>
      <w:rFonts w:ascii="Univers" w:hAnsi="Univers" w:cs="Univer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2000-11-15T09:12:00Z</dcterms:created>
  <dc:creator>Toronto Dominion Bank</dc:creator>
  <dc:description/>
  <dc:language>en-CA</dc:language>
  <cp:lastModifiedBy>akeros</cp:lastModifiedBy>
  <cp:lastPrinted>2000-11-15T10:42:00Z</cp:lastPrinted>
  <dcterms:modified xsi:type="dcterms:W3CDTF">2000-11-16T07:57:00Z</dcterms:modified>
  <cp:revision>4</cp:revision>
  <dc:subject/>
  <dc:title>August 6, 1997</dc:title>
</cp:coreProperties>
</file>