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240" w:after="120"/>
        <w:ind w:hanging="0" w:start="0"/>
        <w:rPr/>
      </w:pPr>
      <w:r>
        <w:rPr/>
        <w:t>ERCOT Receipt of Resource Specific Premiums for Operational Congestion Management</w:t>
      </w:r>
    </w:p>
    <w:p>
      <w:pPr>
        <w:pStyle w:val="BodyText"/>
        <w:rPr/>
      </w:pPr>
      <w:r>
        <w:rPr>
          <w:lang w:val="es-CO"/>
        </w:rPr>
        <w:t>QSE</w:t>
      </w:r>
      <w:r>
        <w:rPr/>
        <w:t>s</w:t>
      </w:r>
      <w:r>
        <w:rPr>
          <w:lang w:val="es-CO"/>
        </w:rPr>
        <w:t xml:space="preserve"> may submit hourly Resource specific premiums for Operational Congestion Management to ERCOT by 1430. </w:t>
      </w:r>
      <w:r>
        <w:rPr/>
        <w:t>Resource specific premiums will have the following components:</w:t>
      </w:r>
    </w:p>
    <w:p>
      <w:pPr>
        <w:pStyle w:val="BodyText"/>
        <w:numPr>
          <w:ilvl w:val="0"/>
          <w:numId w:val="4"/>
        </w:numPr>
        <w:tabs>
          <w:tab w:val="clear" w:pos="720"/>
          <w:tab w:val="left" w:pos="1440" w:leader="none"/>
        </w:tabs>
        <w:rPr/>
      </w:pPr>
      <w:r>
        <w:rPr/>
        <w:t xml:space="preserve">A dollar per megawatt hour ($/MWh) price premium at which the supplier will accept an instruction to increase its level of operation from its </w:t>
      </w:r>
      <w:r>
        <w:rPr>
          <w:strike/>
          <w:color w:val="008000"/>
        </w:rPr>
        <w:t xml:space="preserve">current </w:t>
      </w:r>
      <w:r>
        <w:rPr>
          <w:color w:val="008000"/>
          <w:u w:val="single"/>
        </w:rPr>
        <w:t>Resource Plan MW</w:t>
      </w:r>
      <w:r>
        <w:rPr/>
        <w:t xml:space="preserve"> operating point;</w:t>
      </w:r>
    </w:p>
    <w:p>
      <w:pPr>
        <w:pStyle w:val="BodyText"/>
        <w:numPr>
          <w:ilvl w:val="0"/>
          <w:numId w:val="4"/>
        </w:numPr>
        <w:tabs>
          <w:tab w:val="clear" w:pos="720"/>
          <w:tab w:val="left" w:pos="1440" w:leader="none"/>
        </w:tabs>
        <w:rPr/>
      </w:pPr>
      <w:r>
        <w:rPr/>
        <w:t xml:space="preserve">A dollar per megawatt hour ($/MWh) price premium at which the supplier will accept an instruction to decrease its level of operation from its </w:t>
      </w:r>
      <w:r>
        <w:rPr>
          <w:strike/>
          <w:color w:val="008000"/>
        </w:rPr>
        <w:t xml:space="preserve">current </w:t>
      </w:r>
      <w:r>
        <w:rPr>
          <w:color w:val="008000"/>
          <w:u w:val="single"/>
        </w:rPr>
        <w:t>Resource Plan MW</w:t>
      </w:r>
      <w:r>
        <w:rPr/>
        <w:t xml:space="preserve"> operating point;</w:t>
      </w:r>
    </w:p>
    <w:p>
      <w:pPr>
        <w:pStyle w:val="BodyText"/>
        <w:numPr>
          <w:ilvl w:val="0"/>
          <w:numId w:val="4"/>
        </w:numPr>
        <w:tabs>
          <w:tab w:val="clear" w:pos="720"/>
          <w:tab w:val="left" w:pos="1440" w:leader="none"/>
        </w:tabs>
        <w:rPr/>
      </w:pPr>
      <w:r>
        <w:rPr/>
        <w:t>Unit ramp rate;</w:t>
      </w:r>
    </w:p>
    <w:p>
      <w:pPr>
        <w:pStyle w:val="BodyText"/>
        <w:numPr>
          <w:ilvl w:val="0"/>
          <w:numId w:val="4"/>
        </w:numPr>
        <w:tabs>
          <w:tab w:val="clear" w:pos="720"/>
          <w:tab w:val="left" w:pos="1440" w:leader="none"/>
        </w:tabs>
        <w:rPr/>
      </w:pPr>
      <w:r>
        <w:rPr/>
        <w:t>Designation of the specific Resource;</w:t>
      </w:r>
    </w:p>
    <w:p>
      <w:pPr>
        <w:pStyle w:val="BodyText"/>
        <w:numPr>
          <w:ilvl w:val="0"/>
          <w:numId w:val="4"/>
        </w:numPr>
        <w:tabs>
          <w:tab w:val="clear" w:pos="720"/>
          <w:tab w:val="left" w:pos="1440" w:leader="none"/>
        </w:tabs>
        <w:rPr/>
      </w:pPr>
      <w:r>
        <w:rPr/>
        <w:t xml:space="preserve">An expiration time for the bid.  </w:t>
      </w:r>
    </w:p>
    <w:p>
      <w:pPr>
        <w:pStyle w:val="Normal"/>
        <w:rPr/>
      </w:pPr>
      <w:r>
        <w:rPr/>
      </w:r>
    </w:p>
    <w:p>
      <w:pPr>
        <w:pStyle w:val="Heading4"/>
        <w:ind w:hanging="0" w:start="0"/>
        <w:rPr/>
      </w:pPr>
      <w:r>
        <w:rPr/>
        <w:t>Deployment of Balancing Energy when Congestion Occurs</w:t>
      </w:r>
    </w:p>
    <w:p>
      <w:pPr>
        <w:pStyle w:val="BodyTextIndent"/>
        <w:numPr>
          <w:ilvl w:val="0"/>
          <w:numId w:val="2"/>
        </w:numPr>
        <w:tabs>
          <w:tab w:val="clear" w:pos="720"/>
          <w:tab w:val="left" w:pos="2160" w:leader="none"/>
        </w:tabs>
        <w:rPr/>
      </w:pPr>
      <w:r>
        <w:rPr/>
        <w:t>If the Operational Model indicates there is Zonal Congestion, ERCOT will separate the Balancing Energy Service bids into a Bid Stack for each Congestion Zone.</w:t>
      </w:r>
    </w:p>
    <w:p>
      <w:pPr>
        <w:pStyle w:val="BodyTextIndent"/>
        <w:numPr>
          <w:ilvl w:val="0"/>
          <w:numId w:val="2"/>
        </w:numPr>
        <w:tabs>
          <w:tab w:val="clear" w:pos="720"/>
          <w:tab w:val="left" w:pos="2160" w:leader="none"/>
        </w:tabs>
        <w:rPr/>
      </w:pPr>
      <w:r>
        <w:rPr/>
        <w:t xml:space="preserve">ERCOT will use the Operational Model to determine the amount and location of Balancing Energy deployment for clearing Zonal Congestion as well as balancing the system. </w:t>
      </w:r>
    </w:p>
    <w:p>
      <w:pPr>
        <w:pStyle w:val="BodyTextIndent"/>
        <w:numPr>
          <w:ilvl w:val="0"/>
          <w:numId w:val="2"/>
        </w:numPr>
        <w:tabs>
          <w:tab w:val="clear" w:pos="720"/>
          <w:tab w:val="left" w:pos="2160" w:leader="none"/>
        </w:tabs>
        <w:rPr/>
      </w:pPr>
      <w:r>
        <w:rPr/>
        <w:t>Except as stated in item (4) below, ERCOT will deploy Balancing Energy bids within a zone in bid price Merit Order.</w:t>
      </w:r>
    </w:p>
    <w:p>
      <w:pPr>
        <w:pStyle w:val="BodyTextIndent"/>
        <w:numPr>
          <w:ilvl w:val="0"/>
          <w:numId w:val="2"/>
        </w:numPr>
        <w:tabs>
          <w:tab w:val="clear" w:pos="720"/>
          <w:tab w:val="left" w:pos="2160" w:leader="none"/>
        </w:tabs>
        <w:rPr/>
      </w:pPr>
      <w:r>
        <w:rPr/>
        <w:t xml:space="preserve">ERCOT may form specific Resource prices for both incrementing and decrementing a specific Resource to resolve Local Congestion.  </w:t>
      </w:r>
    </w:p>
    <w:p>
      <w:pPr>
        <w:pStyle w:val="BodyTextIndent"/>
        <w:numPr>
          <w:ilvl w:val="0"/>
          <w:numId w:val="2"/>
        </w:numPr>
        <w:tabs>
          <w:tab w:val="clear" w:pos="720"/>
          <w:tab w:val="left" w:pos="2160" w:leader="none"/>
        </w:tabs>
        <w:rPr/>
      </w:pPr>
      <w:r>
        <w:rPr/>
        <w:t xml:space="preserve">QSEs may specify bid premiums by Resource that would be used to determine Resource-specific prices.  Resource-specific incremental prices will be formed by ERCOT by adding the incremental bid premium to the MCPE of the Congestion Zone.  The Resource-specific premium price will not be less than the bid premium.  Resource-specific decremental prices will be the decremental premium specified.  </w:t>
      </w:r>
    </w:p>
    <w:p>
      <w:pPr>
        <w:pStyle w:val="BodyTextIndent"/>
        <w:numPr>
          <w:ilvl w:val="0"/>
          <w:numId w:val="2"/>
        </w:numPr>
        <w:tabs>
          <w:tab w:val="clear" w:pos="720"/>
          <w:tab w:val="left" w:pos="2160" w:leader="none"/>
        </w:tabs>
        <w:rPr/>
      </w:pPr>
      <w:r>
        <w:rPr/>
        <w:t xml:space="preserve">The actual Shift Factors with respect to the Local Congestion of Resources’ individual incremental and decremental prices from above are used to determine the most economical deployment of individual Resources to solve Local Congestion. </w:t>
      </w:r>
    </w:p>
    <w:p>
      <w:pPr>
        <w:pStyle w:val="BodyTextIndent"/>
        <w:numPr>
          <w:ilvl w:val="0"/>
          <w:numId w:val="2"/>
        </w:numPr>
        <w:tabs>
          <w:tab w:val="clear" w:pos="720"/>
          <w:tab w:val="left" w:pos="2160" w:leader="none"/>
        </w:tabs>
        <w:rPr/>
      </w:pPr>
      <w:r>
        <w:rPr/>
        <w:t xml:space="preserve">ERCOT will instruct QSEs to deploy Balancing Energy Service from a specific Resource through the issuance of a Dispatch Instruction to each Resource according to the most economical solution to resolve the Local Congestion.  The deployment of Resource specific Balancing Energy Service must be in equal incremental and decremental amounts.  The decremental amount will be selected such that it does not adversely affect any other constraint.  </w:t>
      </w:r>
    </w:p>
    <w:p>
      <w:pPr>
        <w:pStyle w:val="BodyTextIndent"/>
        <w:numPr>
          <w:ilvl w:val="0"/>
          <w:numId w:val="2"/>
        </w:numPr>
        <w:tabs>
          <w:tab w:val="clear" w:pos="720"/>
          <w:tab w:val="left" w:pos="2160" w:leader="none"/>
        </w:tabs>
        <w:rPr/>
      </w:pPr>
      <w:r>
        <w:rPr/>
        <w:t xml:space="preserve">The Dispatch Instruction will specify the its </w:t>
      </w:r>
      <w:r>
        <w:rPr>
          <w:strike/>
          <w:color w:val="008000"/>
        </w:rPr>
        <w:t xml:space="preserve">current </w:t>
      </w:r>
      <w:r>
        <w:rPr>
          <w:color w:val="008000"/>
          <w:u w:val="single"/>
        </w:rPr>
        <w:t>Resource Plan MW</w:t>
      </w:r>
      <w:r>
        <w:rPr/>
        <w:t xml:space="preserve"> output level, the amount of Balancing Energy Service, and the range of acceptable operation of the specific Resource.  </w:t>
      </w:r>
    </w:p>
    <w:p>
      <w:pPr>
        <w:pStyle w:val="BodyTextIndent"/>
        <w:numPr>
          <w:ilvl w:val="0"/>
          <w:numId w:val="2"/>
        </w:numPr>
        <w:tabs>
          <w:tab w:val="clear" w:pos="720"/>
          <w:tab w:val="left" w:pos="2160" w:leader="none"/>
        </w:tabs>
        <w:rPr/>
      </w:pPr>
      <w:r>
        <w:rPr/>
        <w:t xml:space="preserve">If a Market Solution exists for an incremental Resource-specific instruction, the QSE will be paid the incremental premium specified, times the difference in megawatts between the Resource’s its </w:t>
      </w:r>
      <w:r>
        <w:rPr>
          <w:strike/>
          <w:color w:val="008000"/>
        </w:rPr>
        <w:t xml:space="preserve">current </w:t>
      </w:r>
      <w:r>
        <w:rPr>
          <w:color w:val="008000"/>
          <w:u w:val="single"/>
        </w:rPr>
        <w:t>Resource Plan MW</w:t>
      </w:r>
      <w:r>
        <w:rPr/>
        <w:t xml:space="preserve"> output level and the minimum of the allowed range specified in the Dispatch Instruction at the time of receipt of the Dispatch Instruction for all hours or portions of an hour the Resource is individually dispatched.  </w:t>
      </w:r>
    </w:p>
    <w:p>
      <w:pPr>
        <w:pStyle w:val="BodyTextIndent"/>
        <w:numPr>
          <w:ilvl w:val="0"/>
          <w:numId w:val="2"/>
        </w:numPr>
        <w:tabs>
          <w:tab w:val="clear" w:pos="720"/>
          <w:tab w:val="left" w:pos="2160" w:leader="none"/>
        </w:tabs>
        <w:rPr/>
      </w:pPr>
      <w:r>
        <w:rPr/>
        <w:t xml:space="preserve">If a Market Solution exists for a decremental unit specific Dispatch Instruction, the QSE will be paid the product of:  1) the </w:t>
      </w:r>
      <w:r>
        <w:rPr>
          <w:strike/>
          <w:color w:val="008000"/>
        </w:rPr>
        <w:t>difference in</w:t>
      </w:r>
      <w:r>
        <w:rPr/>
        <w:t xml:space="preserve"> MCPE minus the decremental premium specified, times 2) the Instruction for all hours or portions of an hour the Resource is individually dispatched.</w:t>
      </w:r>
    </w:p>
    <w:p>
      <w:pPr>
        <w:pStyle w:val="BodyTextIndent"/>
        <w:numPr>
          <w:ilvl w:val="0"/>
          <w:numId w:val="2"/>
        </w:numPr>
        <w:tabs>
          <w:tab w:val="clear" w:pos="720"/>
          <w:tab w:val="left" w:pos="2160" w:leader="none"/>
        </w:tabs>
        <w:rPr/>
      </w:pPr>
      <w:r>
        <w:rPr/>
        <w:t>QSEs shall first meet the specific Resource deployment performance requirements of Section 6.10.7, Individual Resource Dispatch Performance and then provide the Balancing Energy Service deployment instructed pursuant to Section 6.7.1, Deployment of Balancing Energy Service.  In the event that a QSE is unable to provide the Balancing Energy Service due to a specific Resource deployment then the QSE will follow the notification procedures established in Section 5, Dispatch.</w:t>
      </w:r>
    </w:p>
    <w:p>
      <w:pPr>
        <w:pStyle w:val="BodyTextIndent"/>
        <w:numPr>
          <w:ilvl w:val="0"/>
          <w:numId w:val="2"/>
        </w:numPr>
        <w:tabs>
          <w:tab w:val="clear" w:pos="720"/>
          <w:tab w:val="left" w:pos="2160" w:leader="none"/>
        </w:tabs>
        <w:rPr/>
      </w:pPr>
      <w:r>
        <w:rPr/>
        <w:t>If a Market Solution does not exist, then ERCOT will use OOME to price the Resources dispatch to resolve the constraint.</w:t>
      </w:r>
    </w:p>
    <w:p>
      <w:pPr>
        <w:pStyle w:val="BodyTextIndent"/>
        <w:numPr>
          <w:ilvl w:val="0"/>
          <w:numId w:val="2"/>
        </w:numPr>
        <w:tabs>
          <w:tab w:val="clear" w:pos="720"/>
          <w:tab w:val="left" w:pos="2160" w:leader="none"/>
        </w:tabs>
        <w:rPr/>
      </w:pPr>
      <w:r>
        <w:rPr/>
        <w:t xml:space="preserve">The QSEs providing Balancing Energy service shall meet the deployment performance requirements specified in Section 6.10.4, Ancillary Services Deployment Measures. </w:t>
      </w:r>
    </w:p>
    <w:p>
      <w:pPr>
        <w:pStyle w:val="Normal"/>
        <w:rPr/>
      </w:pPr>
      <w:r>
        <w:rPr/>
      </w:r>
    </w:p>
    <w:p>
      <w:pPr>
        <w:pStyle w:val="Heading4"/>
        <w:ind w:hanging="0" w:start="0"/>
        <w:rPr/>
      </w:pPr>
      <w:r>
        <w:rPr/>
        <w:t>Energy Payments</w:t>
      </w:r>
    </w:p>
    <w:p>
      <w:pPr>
        <w:pStyle w:val="BodyTextIndent"/>
        <w:numPr>
          <w:ilvl w:val="0"/>
          <w:numId w:val="3"/>
        </w:numPr>
        <w:rPr/>
      </w:pPr>
      <w:r>
        <w:rPr/>
        <w:t xml:space="preserve">Whenever a Resource is called for OOME Up, the QSE will receive an OOME energy payment of the instructed amount of OOME Up provided by the Resource multiplied by higher of (a) or (b), defined below: </w:t>
      </w:r>
    </w:p>
    <w:p>
      <w:pPr>
        <w:pStyle w:val="BodyTextIndent"/>
        <w:numPr>
          <w:ilvl w:val="1"/>
          <w:numId w:val="3"/>
        </w:numPr>
        <w:tabs>
          <w:tab w:val="clear" w:pos="720"/>
          <w:tab w:val="left" w:pos="1800" w:leader="none"/>
        </w:tabs>
        <w:rPr/>
      </w:pPr>
      <w:r>
        <w:rPr/>
        <w:t>The lower of the:</w:t>
      </w:r>
    </w:p>
    <w:p>
      <w:pPr>
        <w:pStyle w:val="BodyTextIndent"/>
        <w:numPr>
          <w:ilvl w:val="2"/>
          <w:numId w:val="3"/>
        </w:numPr>
        <w:tabs>
          <w:tab w:val="clear" w:pos="720"/>
          <w:tab w:val="left" w:pos="2160" w:leader="none"/>
        </w:tabs>
        <w:rPr/>
      </w:pPr>
      <w:r>
        <w:rPr/>
        <w:t xml:space="preserve">Actual bid price formed from the specific Resource called, or </w:t>
      </w:r>
    </w:p>
    <w:p>
      <w:pPr>
        <w:pStyle w:val="BodyTextIndent"/>
        <w:numPr>
          <w:ilvl w:val="2"/>
          <w:numId w:val="3"/>
        </w:numPr>
        <w:tabs>
          <w:tab w:val="clear" w:pos="720"/>
          <w:tab w:val="left" w:pos="2160" w:leader="none"/>
        </w:tabs>
        <w:rPr/>
      </w:pPr>
      <w:r>
        <w:rPr/>
        <w:t xml:space="preserve">The product of the highest price natural gas index posted daily for the Houston Ship Channel times eighteen (18), regardless of its fuel source, or </w:t>
      </w:r>
    </w:p>
    <w:p>
      <w:pPr>
        <w:pStyle w:val="BodyTextIndent"/>
        <w:numPr>
          <w:ilvl w:val="1"/>
          <w:numId w:val="3"/>
        </w:numPr>
        <w:rPr/>
      </w:pPr>
      <w:r>
        <w:rPr/>
        <w:t>The MCPE for the Congestion Zone.</w:t>
        <w:br/>
      </w:r>
    </w:p>
    <w:p>
      <w:pPr>
        <w:pStyle w:val="BodyTextIndent"/>
        <w:numPr>
          <w:ilvl w:val="0"/>
          <w:numId w:val="3"/>
        </w:numPr>
        <w:rPr/>
      </w:pPr>
      <w:r>
        <w:rPr/>
        <w:t>The calculation for OOME Up is as follows:</w:t>
      </w:r>
    </w:p>
    <w:p>
      <w:pPr>
        <w:pStyle w:val="Normal"/>
        <w:ind w:hanging="720" w:start="2880" w:end="0"/>
        <w:rPr/>
      </w:pPr>
      <w:r>
        <w:rPr>
          <w:b/>
          <w:sz w:val="24"/>
        </w:rPr>
        <w:t>PE</w:t>
      </w:r>
      <w:r>
        <w:rPr>
          <w:b/>
          <w:sz w:val="24"/>
          <w:vertAlign w:val="subscript"/>
        </w:rPr>
        <w:t>OOMUPiq</w:t>
      </w:r>
      <w:r>
        <w:rPr>
          <w:b/>
          <w:sz w:val="24"/>
        </w:rPr>
        <w:t xml:space="preserve"> </w:t>
        <w:tab/>
        <w:t>= SUM(PE</w:t>
      </w:r>
      <w:r>
        <w:rPr>
          <w:b/>
          <w:sz w:val="24"/>
          <w:vertAlign w:val="subscript"/>
        </w:rPr>
        <w:t>OOMUPipq</w:t>
      </w:r>
      <w:r>
        <w:rPr>
          <w:b/>
          <w:sz w:val="24"/>
        </w:rPr>
        <w:t>)</w:t>
      </w:r>
      <w:r>
        <w:rPr>
          <w:b/>
          <w:sz w:val="24"/>
          <w:vertAlign w:val="subscript"/>
        </w:rPr>
        <w:t>pq</w:t>
      </w:r>
    </w:p>
    <w:p>
      <w:pPr>
        <w:pStyle w:val="Normal"/>
        <w:ind w:hanging="1440" w:start="2880" w:end="0"/>
        <w:rPr>
          <w:b/>
          <w:sz w:val="24"/>
          <w:vertAlign w:val="subscript"/>
        </w:rPr>
      </w:pPr>
      <w:r>
        <w:rPr>
          <w:b/>
          <w:sz w:val="24"/>
          <w:vertAlign w:val="subscript"/>
        </w:rPr>
      </w:r>
    </w:p>
    <w:p>
      <w:pPr>
        <w:pStyle w:val="Normal"/>
        <w:ind w:hanging="1440" w:start="2880" w:end="0"/>
        <w:rPr>
          <w:sz w:val="24"/>
        </w:rPr>
      </w:pPr>
      <w:r>
        <w:rPr>
          <w:sz w:val="24"/>
        </w:rPr>
        <w:t>Where:</w:t>
      </w:r>
    </w:p>
    <w:p>
      <w:pPr>
        <w:pStyle w:val="Normal"/>
        <w:ind w:hanging="1440" w:start="2880" w:end="0"/>
        <w:rPr>
          <w:b/>
          <w:sz w:val="24"/>
        </w:rPr>
      </w:pPr>
      <w:r>
        <w:rPr>
          <w:b/>
          <w:sz w:val="24"/>
        </w:rPr>
      </w:r>
    </w:p>
    <w:p>
      <w:pPr>
        <w:pStyle w:val="Normal"/>
        <w:ind w:hanging="720" w:start="2880" w:end="0"/>
        <w:rPr/>
      </w:pPr>
      <w:r>
        <w:rPr>
          <w:b/>
          <w:sz w:val="24"/>
        </w:rPr>
        <w:t>PE</w:t>
      </w:r>
      <w:r>
        <w:rPr>
          <w:b/>
          <w:sz w:val="24"/>
          <w:vertAlign w:val="subscript"/>
        </w:rPr>
        <w:t>OOMUPipq</w:t>
      </w:r>
      <w:r>
        <w:rPr>
          <w:b/>
          <w:sz w:val="24"/>
        </w:rPr>
        <w:t xml:space="preserve"> = </w:t>
        <w:tab/>
        <w:t>-1 *  E</w:t>
      </w:r>
      <w:r>
        <w:rPr>
          <w:b/>
          <w:sz w:val="24"/>
          <w:vertAlign w:val="subscript"/>
        </w:rPr>
        <w:t>OOMUPipq</w:t>
      </w:r>
      <w:r>
        <w:rPr>
          <w:b/>
          <w:sz w:val="24"/>
        </w:rPr>
        <w:t xml:space="preserve">  * Max(0,((FI * HR)-MCPE</w:t>
      </w:r>
      <w:r>
        <w:rPr>
          <w:b/>
          <w:sz w:val="24"/>
          <w:vertAlign w:val="subscript"/>
        </w:rPr>
        <w:t>iz</w:t>
      </w:r>
      <w:r>
        <w:rPr>
          <w:b/>
          <w:sz w:val="24"/>
        </w:rPr>
        <w:t>))</w:t>
      </w:r>
    </w:p>
    <w:p>
      <w:pPr>
        <w:pStyle w:val="Normal"/>
        <w:ind w:hanging="720" w:start="2880" w:end="0"/>
        <w:rPr>
          <w:b/>
          <w:sz w:val="24"/>
        </w:rPr>
      </w:pPr>
      <w:r>
        <w:rPr>
          <w:b/>
          <w:sz w:val="24"/>
        </w:rPr>
      </w:r>
    </w:p>
    <w:p>
      <w:pPr>
        <w:pStyle w:val="Normal"/>
        <w:ind w:start="2880" w:end="0"/>
        <w:rPr/>
      </w:pPr>
      <w:r>
        <w:rPr>
          <w:sz w:val="24"/>
        </w:rPr>
        <w:t>E</w:t>
      </w:r>
      <w:r>
        <w:rPr>
          <w:sz w:val="24"/>
          <w:vertAlign w:val="subscript"/>
        </w:rPr>
        <w:t xml:space="preserve">OOMUPipq </w:t>
      </w:r>
      <w:r>
        <w:rPr>
          <w:sz w:val="24"/>
        </w:rPr>
        <w:t xml:space="preserve">= </w:t>
        <w:tab/>
        <w:t>Max(0,Min(MR</w:t>
      </w:r>
      <w:r>
        <w:rPr>
          <w:sz w:val="24"/>
          <w:vertAlign w:val="subscript"/>
        </w:rPr>
        <w:t xml:space="preserve">ipq </w:t>
      </w:r>
      <w:r>
        <w:rPr>
          <w:sz w:val="24"/>
        </w:rPr>
        <w:t>- OL</w:t>
      </w:r>
      <w:r>
        <w:rPr>
          <w:sz w:val="24"/>
          <w:vertAlign w:val="subscript"/>
        </w:rPr>
        <w:t>peq</w:t>
      </w:r>
      <w:r>
        <w:rPr>
          <w:sz w:val="24"/>
        </w:rPr>
        <w:t>),I</w:t>
      </w:r>
      <w:r>
        <w:rPr>
          <w:sz w:val="24"/>
          <w:vertAlign w:val="subscript"/>
        </w:rPr>
        <w:t>OOMUPipq</w:t>
      </w:r>
      <w:r>
        <w:rPr>
          <w:sz w:val="24"/>
        </w:rPr>
        <w:t>))</w:t>
      </w:r>
    </w:p>
    <w:p>
      <w:pPr>
        <w:pStyle w:val="Normal"/>
        <w:ind w:hanging="1440" w:start="2880" w:end="0"/>
        <w:rPr>
          <w:sz w:val="24"/>
        </w:rPr>
      </w:pPr>
      <w:r>
        <w:rPr>
          <w:sz w:val="24"/>
        </w:rPr>
      </w:r>
    </w:p>
    <w:p>
      <w:pPr>
        <w:pStyle w:val="BodyTextIndent"/>
        <w:rPr/>
      </w:pPr>
      <w:r>
        <w:rPr/>
        <w:t>The equation below will be used to determine the Total OOM Energy Payments to be allocated to each QSE in Section 6.9.6.2 OOM Energy Charge.</w:t>
      </w:r>
    </w:p>
    <w:p>
      <w:pPr>
        <w:pStyle w:val="Normal"/>
        <w:ind w:hanging="1440" w:start="2880" w:end="0"/>
        <w:rPr>
          <w:sz w:val="24"/>
        </w:rPr>
      </w:pPr>
      <w:r>
        <w:rPr>
          <w:sz w:val="24"/>
        </w:rPr>
        <w:t>PE</w:t>
      </w:r>
      <w:r>
        <w:rPr>
          <w:sz w:val="24"/>
          <w:vertAlign w:val="subscript"/>
        </w:rPr>
        <w:t>OOMUPi</w:t>
      </w:r>
      <w:r>
        <w:rPr>
          <w:sz w:val="24"/>
        </w:rPr>
        <w:t xml:space="preserve"> </w:t>
        <w:tab/>
        <w:t>= SUM(PE</w:t>
      </w:r>
      <w:r>
        <w:rPr>
          <w:sz w:val="24"/>
          <w:vertAlign w:val="subscript"/>
        </w:rPr>
        <w:t>OOMUPip</w:t>
      </w:r>
      <w:r>
        <w:rPr>
          <w:sz w:val="24"/>
        </w:rPr>
        <w:t>)</w:t>
      </w:r>
      <w:r>
        <w:rPr>
          <w:sz w:val="24"/>
          <w:vertAlign w:val="subscript"/>
        </w:rPr>
        <w:t xml:space="preserve">  </w:t>
      </w:r>
    </w:p>
    <w:p>
      <w:pPr>
        <w:pStyle w:val="Normal"/>
        <w:ind w:hanging="1440" w:start="2880" w:end="0"/>
        <w:rPr>
          <w:sz w:val="24"/>
        </w:rPr>
      </w:pPr>
      <w:r>
        <w:rPr>
          <w:sz w:val="24"/>
        </w:rPr>
      </w:r>
    </w:p>
    <w:p>
      <w:pPr>
        <w:pStyle w:val="BodyText"/>
        <w:spacing w:before="0" w:after="0"/>
        <w:ind w:firstLine="720" w:end="0"/>
        <w:rPr/>
      </w:pPr>
      <w:r>
        <w:rPr/>
        <w:t>where:</w:t>
      </w:r>
    </w:p>
    <w:p>
      <w:pPr>
        <w:pStyle w:val="Normal"/>
        <w:ind w:hanging="1440" w:start="2880" w:end="0"/>
        <w:rPr>
          <w:sz w:val="24"/>
        </w:rPr>
      </w:pPr>
      <w:r>
        <w:rPr>
          <w:sz w:val="24"/>
        </w:rPr>
        <w:t>i</w:t>
        <w:tab/>
        <w:t xml:space="preserve">interval </w:t>
      </w:r>
    </w:p>
    <w:p>
      <w:pPr>
        <w:pStyle w:val="Normal"/>
        <w:ind w:hanging="1440" w:start="2880" w:end="0"/>
        <w:rPr>
          <w:sz w:val="24"/>
        </w:rPr>
      </w:pPr>
      <w:r>
        <w:rPr>
          <w:sz w:val="24"/>
        </w:rPr>
        <w:t>p</w:t>
        <w:tab/>
        <w:t>plant</w:t>
      </w:r>
    </w:p>
    <w:p>
      <w:pPr>
        <w:pStyle w:val="Normal"/>
        <w:ind w:hanging="1440" w:start="2880" w:end="0"/>
        <w:rPr>
          <w:sz w:val="24"/>
        </w:rPr>
      </w:pPr>
      <w:r>
        <w:rPr>
          <w:sz w:val="24"/>
        </w:rPr>
        <w:t>z</w:t>
        <w:tab/>
        <w:t>zone</w:t>
      </w:r>
    </w:p>
    <w:p>
      <w:pPr>
        <w:pStyle w:val="Normal"/>
        <w:ind w:hanging="1440" w:start="2880" w:end="0"/>
        <w:rPr>
          <w:sz w:val="24"/>
        </w:rPr>
      </w:pPr>
      <w:r>
        <w:rPr>
          <w:sz w:val="24"/>
        </w:rPr>
        <w:t>q</w:t>
        <w:tab/>
        <w:t>QSE</w:t>
      </w:r>
    </w:p>
    <w:p>
      <w:pPr>
        <w:pStyle w:val="Normal"/>
        <w:ind w:hanging="1440" w:start="2880" w:end="0"/>
        <w:rPr>
          <w:sz w:val="24"/>
        </w:rPr>
      </w:pPr>
      <w:r>
        <w:rPr>
          <w:sz w:val="24"/>
        </w:rPr>
        <w:t>FI</w:t>
        <w:tab/>
        <w:t>Fuel Index ($/Btu)</w:t>
      </w:r>
    </w:p>
    <w:p>
      <w:pPr>
        <w:pStyle w:val="Normal"/>
        <w:ind w:hanging="1440" w:start="2880" w:end="0"/>
        <w:rPr/>
      </w:pPr>
      <w:r>
        <w:rPr>
          <w:sz w:val="24"/>
        </w:rPr>
        <w:t>MCPE</w:t>
      </w:r>
      <w:r>
        <w:rPr>
          <w:sz w:val="24"/>
          <w:vertAlign w:val="subscript"/>
        </w:rPr>
        <w:t>iz</w:t>
        <w:tab/>
      </w:r>
      <w:r>
        <w:rPr>
          <w:sz w:val="24"/>
        </w:rPr>
        <w:t>Market Clearing Price of Energy for that interval of the zone in which plant resides</w:t>
      </w:r>
    </w:p>
    <w:p>
      <w:pPr>
        <w:pStyle w:val="Normal"/>
        <w:ind w:hanging="1440" w:start="2880" w:end="0"/>
        <w:rPr>
          <w:sz w:val="24"/>
        </w:rPr>
      </w:pPr>
      <w:r>
        <w:rPr>
          <w:sz w:val="24"/>
        </w:rPr>
        <w:t>HR</w:t>
        <w:tab/>
        <w:t>Standard Heat Rate for OOM (Btu/MWh)</w:t>
      </w:r>
    </w:p>
    <w:p>
      <w:pPr>
        <w:pStyle w:val="Normal"/>
        <w:ind w:hanging="1440" w:start="2880" w:end="0"/>
        <w:rPr/>
      </w:pPr>
      <w:r>
        <w:rPr>
          <w:sz w:val="24"/>
        </w:rPr>
        <w:t>PE</w:t>
      </w:r>
      <w:r>
        <w:rPr>
          <w:sz w:val="24"/>
          <w:vertAlign w:val="subscript"/>
        </w:rPr>
        <w:t>OOMUPipq</w:t>
      </w:r>
      <w:r>
        <w:rPr>
          <w:sz w:val="24"/>
        </w:rPr>
        <w:tab/>
        <w:t>Out of Merit Energy Up Payment ($) for that interval per plant per QSE</w:t>
      </w:r>
    </w:p>
    <w:p>
      <w:pPr>
        <w:pStyle w:val="Normal"/>
        <w:ind w:hanging="1440" w:start="2880" w:end="0"/>
        <w:rPr/>
      </w:pPr>
      <w:r>
        <w:rPr>
          <w:sz w:val="24"/>
        </w:rPr>
        <w:t>PE</w:t>
      </w:r>
      <w:r>
        <w:rPr>
          <w:sz w:val="24"/>
          <w:vertAlign w:val="subscript"/>
        </w:rPr>
        <w:t>OOMUPiq</w:t>
      </w:r>
      <w:r>
        <w:rPr>
          <w:sz w:val="24"/>
        </w:rPr>
        <w:tab/>
        <w:t>Out of Merit Energy Up Payment ($) for that interval per QSE</w:t>
      </w:r>
    </w:p>
    <w:p>
      <w:pPr>
        <w:pStyle w:val="Normal"/>
        <w:ind w:hanging="1440" w:start="2880" w:end="0"/>
        <w:rPr/>
      </w:pPr>
      <w:r>
        <w:rPr>
          <w:sz w:val="24"/>
        </w:rPr>
        <w:t>PE</w:t>
      </w:r>
      <w:r>
        <w:rPr>
          <w:sz w:val="24"/>
          <w:vertAlign w:val="subscript"/>
        </w:rPr>
        <w:t>OOMUPi</w:t>
      </w:r>
      <w:r>
        <w:rPr>
          <w:sz w:val="24"/>
        </w:rPr>
        <w:tab/>
        <w:t>Summation of Out of Merit Energy Up Payment ($) per interval for all QSEs in the market</w:t>
      </w:r>
    </w:p>
    <w:p>
      <w:pPr>
        <w:pStyle w:val="Normal"/>
        <w:ind w:hanging="1440" w:start="2880" w:end="0"/>
        <w:rPr/>
      </w:pPr>
      <w:r>
        <w:rPr>
          <w:sz w:val="24"/>
        </w:rPr>
        <w:t>E</w:t>
      </w:r>
      <w:r>
        <w:rPr>
          <w:sz w:val="24"/>
          <w:vertAlign w:val="subscript"/>
        </w:rPr>
        <w:t>OOMUPipq</w:t>
      </w:r>
      <w:r>
        <w:rPr>
          <w:sz w:val="24"/>
        </w:rPr>
        <w:tab/>
        <w:t>OOM Up quantity deployed for that plant per interval per QSE</w:t>
      </w:r>
    </w:p>
    <w:p>
      <w:pPr>
        <w:pStyle w:val="Normal"/>
        <w:ind w:hanging="1440" w:start="2880" w:end="0"/>
        <w:rPr/>
      </w:pPr>
      <w:r>
        <w:rPr>
          <w:sz w:val="24"/>
        </w:rPr>
        <w:t>I</w:t>
      </w:r>
      <w:r>
        <w:rPr>
          <w:sz w:val="24"/>
          <w:vertAlign w:val="subscript"/>
        </w:rPr>
        <w:t>OOMUPip</w:t>
      </w:r>
      <w:r>
        <w:rPr>
          <w:sz w:val="24"/>
        </w:rPr>
        <w:tab/>
        <w:t xml:space="preserve">OOM Energy Up Instructions for that interval for that plant converted to MWh for that interval by dividing by the interval count per hour (4 per hour for 15 minute Settlement Interval) </w:t>
      </w:r>
    </w:p>
    <w:p>
      <w:pPr>
        <w:pStyle w:val="Normal"/>
        <w:ind w:hanging="1440" w:start="2880" w:end="0"/>
        <w:rPr/>
      </w:pPr>
      <w:r>
        <w:rPr>
          <w:sz w:val="24"/>
        </w:rPr>
        <w:t>MR</w:t>
      </w:r>
      <w:r>
        <w:rPr>
          <w:sz w:val="24"/>
          <w:vertAlign w:val="subscript"/>
        </w:rPr>
        <w:t>ipq</w:t>
        <w:tab/>
      </w:r>
      <w:r>
        <w:rPr>
          <w:sz w:val="24"/>
        </w:rPr>
        <w:t>Meter Reading for that plant for that interval per QSE</w:t>
      </w:r>
    </w:p>
    <w:p>
      <w:pPr>
        <w:pStyle w:val="Normal"/>
        <w:ind w:hanging="1440" w:start="2880" w:end="0"/>
        <w:rPr/>
      </w:pPr>
      <w:r>
        <w:rPr>
          <w:sz w:val="24"/>
        </w:rPr>
        <w:t>OL</w:t>
      </w:r>
      <w:r>
        <w:rPr>
          <w:sz w:val="24"/>
          <w:vertAlign w:val="subscript"/>
        </w:rPr>
        <w:t>peq</w:t>
      </w:r>
      <w:r>
        <w:rPr>
          <w:sz w:val="24"/>
        </w:rPr>
        <w:tab/>
        <w:t xml:space="preserve">Plant Specific </w:t>
      </w:r>
      <w:r>
        <w:rPr>
          <w:strike/>
          <w:color w:val="008000"/>
          <w:sz w:val="24"/>
        </w:rPr>
        <w:t>Instantaneous</w:t>
      </w:r>
      <w:r>
        <w:rPr>
          <w:strike/>
          <w:sz w:val="24"/>
        </w:rPr>
        <w:t xml:space="preserve"> </w:t>
      </w:r>
      <w:r>
        <w:rPr>
          <w:color w:val="008000"/>
          <w:sz w:val="24"/>
        </w:rPr>
        <w:t>Resource Plan</w:t>
      </w:r>
      <w:r>
        <w:rPr>
          <w:sz w:val="24"/>
        </w:rPr>
        <w:t xml:space="preserve"> MW Output Level at time of request (Event) converted to MWh for that interval by dividing by the interval count per hour (4 per hour for 15 minute Settlement Interval )</w:t>
      </w:r>
    </w:p>
    <w:p>
      <w:pPr>
        <w:pStyle w:val="Normal"/>
        <w:ind w:hanging="1440" w:start="2880" w:end="0"/>
        <w:rPr>
          <w:sz w:val="24"/>
        </w:rPr>
      </w:pPr>
      <w:r>
        <w:rPr>
          <w:sz w:val="24"/>
        </w:rPr>
      </w:r>
    </w:p>
    <w:p>
      <w:pPr>
        <w:pStyle w:val="BodyTextIndent"/>
        <w:numPr>
          <w:ilvl w:val="0"/>
          <w:numId w:val="3"/>
        </w:numPr>
        <w:rPr/>
      </w:pPr>
      <w:r>
        <w:rPr/>
        <w:t xml:space="preserve">If a Resource is called to provide OOME Up service and the payment for OOME service is insufficient to cover all costs of providing the Service, then that Resource will be paid, in addition to the energy payment, all verifiable, costs in excess of the OOME payment that are directly attributable to the OOME Service.  These costs may include the cost of exceeding swing gas contract limits, additional gas demand costs set by the fuel supply or transportation contracts, and any additional costs to purchase emissions credits or other costs incurred due to environmental regulations.  Verification of these costs must be submitted to ERCOT to allow resolution by the end of the dispute process for Settlement True Up as defined in Section 9.2.4, True-Up Statements.  </w:t>
      </w:r>
    </w:p>
    <w:p>
      <w:pPr>
        <w:pStyle w:val="BodyTextIndent"/>
        <w:numPr>
          <w:ilvl w:val="0"/>
          <w:numId w:val="3"/>
        </w:numPr>
        <w:tabs>
          <w:tab w:val="clear" w:pos="720"/>
          <w:tab w:val="left" w:pos="1440" w:leader="none"/>
        </w:tabs>
        <w:rPr/>
      </w:pPr>
      <w:r>
        <w:rPr/>
        <w:t>Whenever a Resource is called on for OOME Down, the QSE will pay an energy payment equal to the total amount of energy to be reduced by the Resource, multiplied by the lesser of :  (a) MCPE of the Congestion Zone or (b) $0.00 .  The calculation for OOME Down is as follows:</w:t>
      </w:r>
    </w:p>
    <w:p>
      <w:pPr>
        <w:pStyle w:val="Normal"/>
        <w:ind w:hanging="1440" w:start="2880" w:end="0"/>
        <w:rPr/>
      </w:pPr>
      <w:r>
        <w:rPr>
          <w:b/>
          <w:sz w:val="24"/>
        </w:rPr>
        <w:t>PE</w:t>
      </w:r>
      <w:r>
        <w:rPr>
          <w:b/>
          <w:sz w:val="24"/>
          <w:vertAlign w:val="subscript"/>
        </w:rPr>
        <w:t>OOMDNipqz</w:t>
      </w:r>
      <w:r>
        <w:rPr>
          <w:b/>
          <w:sz w:val="24"/>
        </w:rPr>
        <w:t xml:space="preserve"> = </w:t>
        <w:tab/>
        <w:t xml:space="preserve"> -1 * E</w:t>
      </w:r>
      <w:r>
        <w:rPr>
          <w:b/>
          <w:sz w:val="24"/>
          <w:vertAlign w:val="subscript"/>
        </w:rPr>
        <w:t>OOMDNip</w:t>
      </w:r>
      <w:r>
        <w:rPr>
          <w:b/>
          <w:sz w:val="24"/>
        </w:rPr>
        <w:t xml:space="preserve">  * Max(0,MCPE</w:t>
      </w:r>
      <w:r>
        <w:rPr>
          <w:b/>
          <w:sz w:val="24"/>
          <w:vertAlign w:val="subscript"/>
        </w:rPr>
        <w:t>iz</w:t>
      </w:r>
      <w:r>
        <w:rPr>
          <w:b/>
          <w:sz w:val="24"/>
        </w:rPr>
        <w:t>)</w:t>
      </w:r>
    </w:p>
    <w:p>
      <w:pPr>
        <w:pStyle w:val="Normal"/>
        <w:ind w:hanging="1440" w:start="2880" w:end="0"/>
        <w:rPr>
          <w:b/>
          <w:sz w:val="24"/>
        </w:rPr>
      </w:pPr>
      <w:r>
        <w:rPr>
          <w:b/>
          <w:sz w:val="24"/>
        </w:rPr>
      </w:r>
    </w:p>
    <w:p>
      <w:pPr>
        <w:pStyle w:val="Normal"/>
        <w:ind w:hanging="720" w:start="2880" w:end="0"/>
        <w:rPr/>
      </w:pPr>
      <w:r>
        <w:rPr>
          <w:sz w:val="24"/>
        </w:rPr>
        <w:t>E</w:t>
      </w:r>
      <w:r>
        <w:rPr>
          <w:sz w:val="24"/>
          <w:vertAlign w:val="subscript"/>
        </w:rPr>
        <w:t xml:space="preserve">OOMDNip </w:t>
      </w:r>
      <w:r>
        <w:rPr>
          <w:sz w:val="24"/>
        </w:rPr>
        <w:t xml:space="preserve">= </w:t>
        <w:tab/>
        <w:t>Max(0,(Min(OL</w:t>
      </w:r>
      <w:r>
        <w:rPr>
          <w:sz w:val="24"/>
          <w:vertAlign w:val="subscript"/>
        </w:rPr>
        <w:t xml:space="preserve">pe </w:t>
      </w:r>
      <w:r>
        <w:rPr>
          <w:sz w:val="24"/>
        </w:rPr>
        <w:t>-</w:t>
      </w:r>
      <w:r>
        <w:rPr>
          <w:sz w:val="24"/>
          <w:vertAlign w:val="subscript"/>
        </w:rPr>
        <w:t xml:space="preserve"> </w:t>
      </w:r>
      <w:r>
        <w:rPr>
          <w:sz w:val="24"/>
        </w:rPr>
        <w:t>MR</w:t>
      </w:r>
      <w:r>
        <w:rPr>
          <w:sz w:val="24"/>
          <w:vertAlign w:val="subscript"/>
        </w:rPr>
        <w:t xml:space="preserve">ip </w:t>
      </w:r>
      <w:r>
        <w:rPr>
          <w:sz w:val="24"/>
        </w:rPr>
        <w:t>),I</w:t>
      </w:r>
      <w:r>
        <w:rPr>
          <w:sz w:val="24"/>
          <w:vertAlign w:val="subscript"/>
        </w:rPr>
        <w:t>OOMDNip</w:t>
      </w:r>
      <w:r>
        <w:rPr>
          <w:sz w:val="24"/>
        </w:rPr>
        <w:t>))</w:t>
      </w:r>
    </w:p>
    <w:p>
      <w:pPr>
        <w:pStyle w:val="Normal"/>
        <w:ind w:hanging="1440" w:start="2880" w:end="0"/>
        <w:rPr>
          <w:sz w:val="24"/>
        </w:rPr>
      </w:pPr>
      <w:r>
        <w:rPr>
          <w:sz w:val="24"/>
        </w:rPr>
      </w:r>
    </w:p>
    <w:p>
      <w:pPr>
        <w:pStyle w:val="Normal"/>
        <w:ind w:hanging="1440" w:start="2880" w:end="0"/>
        <w:rPr/>
      </w:pPr>
      <w:r>
        <w:rPr>
          <w:sz w:val="24"/>
        </w:rPr>
        <w:t>PE</w:t>
      </w:r>
      <w:r>
        <w:rPr>
          <w:sz w:val="24"/>
          <w:vertAlign w:val="subscript"/>
        </w:rPr>
        <w:t>OOMDNiq</w:t>
      </w:r>
      <w:r>
        <w:rPr>
          <w:sz w:val="24"/>
        </w:rPr>
        <w:t xml:space="preserve"> </w:t>
        <w:tab/>
        <w:t>= SUM(PE</w:t>
      </w:r>
      <w:r>
        <w:rPr>
          <w:sz w:val="24"/>
          <w:vertAlign w:val="subscript"/>
        </w:rPr>
        <w:t>OOMDNip</w:t>
      </w:r>
      <w:r>
        <w:rPr>
          <w:sz w:val="24"/>
        </w:rPr>
        <w:t>)</w:t>
      </w:r>
      <w:r>
        <w:rPr>
          <w:sz w:val="24"/>
          <w:vertAlign w:val="subscript"/>
        </w:rPr>
        <w:t>q</w:t>
      </w:r>
    </w:p>
    <w:p>
      <w:pPr>
        <w:pStyle w:val="Normal"/>
        <w:ind w:hanging="1440" w:start="2880" w:end="0"/>
        <w:rPr>
          <w:sz w:val="24"/>
          <w:vertAlign w:val="subscript"/>
        </w:rPr>
      </w:pPr>
      <w:r>
        <w:rPr>
          <w:sz w:val="24"/>
          <w:vertAlign w:val="subscript"/>
        </w:rPr>
      </w:r>
    </w:p>
    <w:p>
      <w:pPr>
        <w:pStyle w:val="Normal"/>
        <w:ind w:hanging="1440" w:start="2880" w:end="0"/>
        <w:rPr>
          <w:sz w:val="24"/>
        </w:rPr>
      </w:pPr>
      <w:r>
        <w:rPr>
          <w:sz w:val="24"/>
        </w:rPr>
        <w:t>PE</w:t>
      </w:r>
      <w:r>
        <w:rPr>
          <w:sz w:val="24"/>
          <w:vertAlign w:val="subscript"/>
        </w:rPr>
        <w:t>OOMDNiz</w:t>
      </w:r>
      <w:r>
        <w:rPr>
          <w:sz w:val="24"/>
        </w:rPr>
        <w:t xml:space="preserve"> </w:t>
        <w:tab/>
        <w:t>= SUM(PE</w:t>
      </w:r>
      <w:r>
        <w:rPr>
          <w:sz w:val="24"/>
          <w:vertAlign w:val="subscript"/>
        </w:rPr>
        <w:t>OOMDNip</w:t>
      </w:r>
      <w:r>
        <w:rPr>
          <w:sz w:val="24"/>
        </w:rPr>
        <w:t>)</w:t>
      </w:r>
      <w:r>
        <w:rPr>
          <w:sz w:val="24"/>
          <w:vertAlign w:val="subscript"/>
        </w:rPr>
        <w:t>z</w:t>
      </w:r>
    </w:p>
    <w:p>
      <w:pPr>
        <w:pStyle w:val="Normal"/>
        <w:tabs>
          <w:tab w:val="clear" w:pos="720"/>
          <w:tab w:val="left" w:pos="1890" w:leader="none"/>
        </w:tabs>
        <w:ind w:hanging="1440" w:start="2880" w:end="0"/>
        <w:rPr>
          <w:sz w:val="24"/>
        </w:rPr>
      </w:pPr>
      <w:r>
        <w:rPr>
          <w:sz w:val="24"/>
        </w:rPr>
        <w:tab/>
      </w:r>
    </w:p>
    <w:p>
      <w:pPr>
        <w:pStyle w:val="Normal"/>
        <w:ind w:hanging="1440" w:start="2880" w:end="0"/>
        <w:rPr>
          <w:sz w:val="24"/>
        </w:rPr>
      </w:pPr>
      <w:r>
        <w:rPr>
          <w:sz w:val="24"/>
        </w:rPr>
      </w:r>
    </w:p>
    <w:p>
      <w:pPr>
        <w:pStyle w:val="BodyText"/>
        <w:spacing w:before="0" w:after="0"/>
        <w:ind w:firstLine="720" w:end="0"/>
        <w:rPr/>
      </w:pPr>
      <w:r>
        <w:rPr/>
        <w:t>Where:</w:t>
      </w:r>
    </w:p>
    <w:p>
      <w:pPr>
        <w:pStyle w:val="Normal"/>
        <w:ind w:hanging="1440" w:start="2880" w:end="0"/>
        <w:rPr>
          <w:sz w:val="24"/>
        </w:rPr>
      </w:pPr>
      <w:r>
        <w:rPr>
          <w:sz w:val="24"/>
        </w:rPr>
        <w:t>i</w:t>
        <w:tab/>
        <w:t xml:space="preserve">interval </w:t>
      </w:r>
    </w:p>
    <w:p>
      <w:pPr>
        <w:pStyle w:val="Normal"/>
        <w:ind w:hanging="1440" w:start="2880" w:end="0"/>
        <w:rPr>
          <w:sz w:val="24"/>
        </w:rPr>
      </w:pPr>
      <w:r>
        <w:rPr>
          <w:sz w:val="24"/>
        </w:rPr>
        <w:t>p</w:t>
        <w:tab/>
        <w:t>plant</w:t>
      </w:r>
    </w:p>
    <w:p>
      <w:pPr>
        <w:pStyle w:val="Normal"/>
        <w:ind w:hanging="1440" w:start="2880" w:end="0"/>
        <w:rPr>
          <w:sz w:val="24"/>
        </w:rPr>
      </w:pPr>
      <w:r>
        <w:rPr>
          <w:sz w:val="24"/>
        </w:rPr>
        <w:t>z</w:t>
        <w:tab/>
        <w:t>zone</w:t>
      </w:r>
    </w:p>
    <w:p>
      <w:pPr>
        <w:pStyle w:val="Normal"/>
        <w:ind w:hanging="1440" w:start="2880" w:end="0"/>
        <w:rPr>
          <w:sz w:val="24"/>
        </w:rPr>
      </w:pPr>
      <w:r>
        <w:rPr>
          <w:sz w:val="24"/>
        </w:rPr>
        <w:t>q</w:t>
        <w:tab/>
        <w:t>QSE</w:t>
      </w:r>
    </w:p>
    <w:p>
      <w:pPr>
        <w:pStyle w:val="Normal"/>
        <w:ind w:hanging="1440" w:start="2880" w:end="0"/>
        <w:rPr/>
      </w:pPr>
      <w:r>
        <w:rPr>
          <w:sz w:val="24"/>
        </w:rPr>
        <w:t>PE</w:t>
      </w:r>
      <w:r>
        <w:rPr>
          <w:sz w:val="24"/>
          <w:vertAlign w:val="subscript"/>
        </w:rPr>
        <w:t>OOMDNipqz</w:t>
      </w:r>
      <w:r>
        <w:rPr>
          <w:sz w:val="24"/>
        </w:rPr>
        <w:tab/>
        <w:t xml:space="preserve">Out of Merit Energy Down Payment ($) for that interval per plant for the QSE </w:t>
      </w:r>
    </w:p>
    <w:p>
      <w:pPr>
        <w:pStyle w:val="Normal"/>
        <w:ind w:hanging="1440" w:start="2880" w:end="0"/>
        <w:rPr/>
      </w:pPr>
      <w:r>
        <w:rPr>
          <w:sz w:val="24"/>
        </w:rPr>
        <w:t>PE</w:t>
      </w:r>
      <w:r>
        <w:rPr>
          <w:sz w:val="24"/>
          <w:vertAlign w:val="subscript"/>
        </w:rPr>
        <w:t>OOMDNiq</w:t>
        <w:tab/>
      </w:r>
      <w:r>
        <w:rPr>
          <w:sz w:val="24"/>
        </w:rPr>
        <w:t>Total Out of Merit Energy Down Payment in the interval for the QSE</w:t>
      </w:r>
    </w:p>
    <w:p>
      <w:pPr>
        <w:pStyle w:val="Normal"/>
        <w:ind w:hanging="1440" w:start="2880" w:end="0"/>
        <w:rPr/>
      </w:pPr>
      <w:r>
        <w:rPr>
          <w:sz w:val="24"/>
        </w:rPr>
        <w:t>PE</w:t>
      </w:r>
      <w:r>
        <w:rPr>
          <w:sz w:val="24"/>
          <w:vertAlign w:val="subscript"/>
        </w:rPr>
        <w:t>OOMDNiz</w:t>
        <w:tab/>
      </w:r>
      <w:r>
        <w:rPr>
          <w:sz w:val="24"/>
        </w:rPr>
        <w:t>Out of Merit Energy Down Payment ($) per interval per zone</w:t>
      </w:r>
    </w:p>
    <w:p>
      <w:pPr>
        <w:pStyle w:val="Normal"/>
        <w:ind w:hanging="1440" w:start="2880" w:end="0"/>
        <w:rPr/>
      </w:pPr>
      <w:r>
        <w:rPr>
          <w:sz w:val="24"/>
        </w:rPr>
        <w:t>E</w:t>
      </w:r>
      <w:r>
        <w:rPr>
          <w:sz w:val="24"/>
          <w:vertAlign w:val="subscript"/>
        </w:rPr>
        <w:t>OOMDNip</w:t>
      </w:r>
      <w:r>
        <w:rPr>
          <w:sz w:val="24"/>
        </w:rPr>
        <w:t xml:space="preserve"> </w:t>
        <w:tab/>
        <w:t>OOM Energy quantity instructed down for that plant per interval</w:t>
      </w:r>
    </w:p>
    <w:p>
      <w:pPr>
        <w:pStyle w:val="Normal"/>
        <w:ind w:firstLine="720" w:start="720" w:end="0"/>
        <w:rPr/>
      </w:pPr>
      <w:r>
        <w:rPr>
          <w:sz w:val="24"/>
        </w:rPr>
        <w:t>MCPE</w:t>
      </w:r>
      <w:r>
        <w:rPr>
          <w:sz w:val="24"/>
          <w:vertAlign w:val="subscript"/>
        </w:rPr>
        <w:t>iz</w:t>
        <w:tab/>
      </w:r>
      <w:r>
        <w:rPr>
          <w:sz w:val="24"/>
        </w:rPr>
        <w:t>Market Clearing Price for Energy per interval for that zone</w:t>
      </w:r>
    </w:p>
    <w:p>
      <w:pPr>
        <w:pStyle w:val="Normal"/>
        <w:ind w:hanging="1440" w:start="2880" w:end="0"/>
        <w:rPr/>
      </w:pPr>
      <w:r>
        <w:rPr>
          <w:sz w:val="24"/>
        </w:rPr>
        <w:t>I</w:t>
      </w:r>
      <w:r>
        <w:rPr>
          <w:sz w:val="24"/>
          <w:vertAlign w:val="subscript"/>
        </w:rPr>
        <w:t>OOMDNip</w:t>
      </w:r>
      <w:r>
        <w:rPr>
          <w:sz w:val="24"/>
        </w:rPr>
        <w:tab/>
        <w:t xml:space="preserve">OOM Energy Down Dispatch Instructions per interval per plant converted to MWh for that interval by dividing by the interval count per hour (four (4) per hour for fifteen (15) minute Settlement Interval) </w:t>
      </w:r>
    </w:p>
    <w:p>
      <w:pPr>
        <w:pStyle w:val="Normal"/>
        <w:ind w:hanging="1440" w:start="2880" w:end="0"/>
        <w:rPr/>
      </w:pPr>
      <w:r>
        <w:rPr>
          <w:sz w:val="24"/>
        </w:rPr>
        <w:t>MR</w:t>
      </w:r>
      <w:r>
        <w:rPr>
          <w:sz w:val="24"/>
          <w:vertAlign w:val="subscript"/>
        </w:rPr>
        <w:t>ip</w:t>
        <w:tab/>
      </w:r>
      <w:r>
        <w:rPr>
          <w:sz w:val="24"/>
        </w:rPr>
        <w:t xml:space="preserve">Meter reading per plant per interval </w:t>
      </w:r>
    </w:p>
    <w:p>
      <w:pPr>
        <w:pStyle w:val="Normal"/>
        <w:ind w:hanging="1440" w:start="2880" w:end="0"/>
        <w:rPr/>
      </w:pPr>
      <w:r>
        <w:rPr>
          <w:sz w:val="24"/>
        </w:rPr>
        <w:t>OL</w:t>
      </w:r>
      <w:r>
        <w:rPr>
          <w:sz w:val="24"/>
          <w:vertAlign w:val="subscript"/>
        </w:rPr>
        <w:t>pe</w:t>
      </w:r>
      <w:r>
        <w:rPr>
          <w:sz w:val="24"/>
        </w:rPr>
        <w:tab/>
        <w:t xml:space="preserve">Plant specific </w:t>
      </w:r>
      <w:r>
        <w:rPr>
          <w:strike/>
          <w:color w:val="008000"/>
          <w:sz w:val="24"/>
        </w:rPr>
        <w:t>Instantaneous</w:t>
      </w:r>
      <w:r>
        <w:rPr>
          <w:strike/>
          <w:sz w:val="24"/>
        </w:rPr>
        <w:t xml:space="preserve"> </w:t>
      </w:r>
      <w:r>
        <w:rPr>
          <w:color w:val="008000"/>
          <w:sz w:val="24"/>
        </w:rPr>
        <w:t>Resource Plan</w:t>
      </w:r>
      <w:r>
        <w:rPr>
          <w:sz w:val="24"/>
        </w:rPr>
        <w:t xml:space="preserve"> MW output level at time of request (Event) converted to MWh per interval by dividing by the interval count per hour (four (4) per hour for fifteen (15) minute Settlement Interval).</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5.3"/>
      <w:lvlJc w:val="start"/>
      <w:pPr>
        <w:tabs>
          <w:tab w:val="num" w:pos="720"/>
        </w:tabs>
        <w:ind w:start="720" w:hanging="720"/>
      </w:pPr>
      <w:rPr/>
    </w:lvl>
    <w:lvl w:ilvl="3">
      <w:start w:val="1"/>
      <w:pStyle w:val="Heading4"/>
      <w:numFmt w:val="none"/>
      <w:suff w:val="nothing"/>
      <w:lvlText w:val="6.8.2.2"/>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4">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240"/>
      <w:outlineLvl w:val="0"/>
    </w:pPr>
    <w:rPr>
      <w:b/>
      <w:caps/>
      <w:sz w:val="24"/>
    </w:rPr>
  </w:style>
  <w:style w:type="paragraph" w:styleId="Heading2">
    <w:name w:val="heading 2"/>
    <w:basedOn w:val="Normal"/>
    <w:next w:val="Normal"/>
    <w:qFormat/>
    <w:pPr>
      <w:keepNext w:val="true"/>
      <w:numPr>
        <w:ilvl w:val="1"/>
        <w:numId w:val="1"/>
      </w:numPr>
      <w:spacing w:before="240" w:after="240"/>
      <w:outlineLvl w:val="1"/>
    </w:pPr>
    <w:rPr>
      <w:b/>
      <w:sz w:val="24"/>
    </w:rPr>
  </w:style>
  <w:style w:type="paragraph" w:styleId="Heading3">
    <w:name w:val="heading 3"/>
    <w:basedOn w:val="Normal"/>
    <w:next w:val="Normal"/>
    <w:qFormat/>
    <w:pPr>
      <w:keepNext w:val="true"/>
      <w:numPr>
        <w:ilvl w:val="2"/>
        <w:numId w:val="1"/>
      </w:numPr>
      <w:spacing w:before="240" w:after="120"/>
      <w:outlineLvl w:val="2"/>
    </w:pPr>
    <w:rPr>
      <w:b/>
      <w:i/>
      <w:sz w:val="24"/>
    </w:rPr>
  </w:style>
  <w:style w:type="paragraph" w:styleId="Heading4">
    <w:name w:val="heading 4"/>
    <w:basedOn w:val="Normal"/>
    <w:next w:val="Normal"/>
    <w:qFormat/>
    <w:pPr>
      <w:keepNext w:val="true"/>
      <w:widowControl w:val="false"/>
      <w:numPr>
        <w:ilvl w:val="3"/>
        <w:numId w:val="1"/>
      </w:numPr>
      <w:spacing w:before="360" w:after="240"/>
      <w:outlineLvl w:val="3"/>
    </w:pPr>
    <w:rPr>
      <w:b/>
      <w:sz w:val="24"/>
    </w:rPr>
  </w:style>
  <w:style w:type="paragraph" w:styleId="Heading5">
    <w:name w:val="heading 5"/>
    <w:basedOn w:val="Normal"/>
    <w:next w:val="Normal"/>
    <w:qFormat/>
    <w:pPr>
      <w:numPr>
        <w:ilvl w:val="4"/>
        <w:numId w:val="1"/>
      </w:numPr>
      <w:spacing w:before="240" w:after="60"/>
      <w:outlineLvl w:val="4"/>
    </w:pPr>
    <w:rPr>
      <w:b/>
      <w:i/>
      <w:sz w:val="26"/>
    </w:rPr>
  </w:style>
  <w:style w:type="paragraph" w:styleId="Heading6">
    <w:name w:val="heading 6"/>
    <w:basedOn w:val="Normal"/>
    <w:next w:val="Normal"/>
    <w:qFormat/>
    <w:pPr>
      <w:numPr>
        <w:ilvl w:val="5"/>
        <w:numId w:val="1"/>
      </w:numPr>
      <w:spacing w:before="240" w:after="60"/>
      <w:outlineLvl w:val="5"/>
    </w:pPr>
    <w:rPr>
      <w:b/>
      <w:sz w:val="22"/>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120" w:after="120"/>
      <w:ind w:hanging="0" w:start="720" w:end="0"/>
    </w:pPr>
    <w:rPr>
      <w:sz w:val="24"/>
    </w:rPr>
  </w:style>
  <w:style w:type="paragraph" w:styleId="BodyText2">
    <w:name w:val="Body Text 2"/>
    <w:basedOn w:val="Normal"/>
    <w:qFormat/>
    <w:pPr/>
    <w:rPr>
      <w:color w:val="008000"/>
      <w:sz w:val="36"/>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2000-11-27T19:28:00Z</dcterms:created>
  <dc:creator>TXU</dc:creator>
  <dc:description/>
  <dc:language>en-CA</dc:language>
  <cp:lastModifiedBy>TXU</cp:lastModifiedBy>
  <dcterms:modified xsi:type="dcterms:W3CDTF">2000-11-27T19:57:00Z</dcterms:modified>
  <cp:revision>3</cp:revision>
  <dc:subject/>
  <dc:title>4</dc:title>
</cp:coreProperties>
</file>