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rFonts w:eastAsia="Arial"/>
        </w:rPr>
        <w:t xml:space="preserve"> </w:t>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rFonts w:ascii="Times New Roman" w:hAnsi="Times New Roman" w:cs="Times New Roman"/>
                <w:sz w:val="24"/>
              </w:rPr>
            </w:pPr>
            <w:bookmarkStart w:id="0" w:name="to"/>
            <w:bookmarkEnd w:id="0"/>
            <w:r>
              <w:rPr>
                <w:rFonts w:cs="Times New Roman" w:ascii="Times New Roman" w:hAnsi="Times New Roman"/>
                <w:sz w:val="24"/>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rFonts w:ascii="Times New Roman" w:hAnsi="Times New Roman" w:cs="Times New Roman"/>
                <w:sz w:val="24"/>
              </w:rPr>
            </w:pPr>
            <w:r>
              <w:rPr>
                <w:rFonts w:cs="Times New Roman" w:ascii="Times New Roman" w:hAnsi="Times New Roman"/>
                <w:sz w:val="24"/>
              </w:rPr>
              <w:t>Tara S. Rafter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rFonts w:ascii="Times New Roman" w:hAnsi="Times New Roman" w:cs="Times New Roman"/>
                <w:sz w:val="24"/>
              </w:rPr>
            </w:pPr>
            <w:bookmarkStart w:id="1" w:name="From"/>
            <w:bookmarkEnd w:id="1"/>
            <w:r>
              <w:rPr>
                <w:rFonts w:cs="Times New Roman" w:ascii="Times New Roman" w:hAnsi="Times New Roman"/>
                <w:sz w:val="24"/>
              </w:rPr>
              <w:t xml:space="preserve">Corporate Tax </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rFonts w:ascii="Times New Roman" w:hAnsi="Times New Roman" w:cs="Times New Roman"/>
                <w:sz w:val="24"/>
              </w:rPr>
            </w:pPr>
            <w:bookmarkStart w:id="2" w:name="Subject"/>
            <w:bookmarkEnd w:id="2"/>
            <w:r>
              <w:rPr>
                <w:rFonts w:cs="Times New Roman" w:ascii="Times New Roman" w:hAnsi="Times New Roman"/>
                <w:sz w:val="24"/>
              </w:rPr>
              <w:t xml:space="preserve">2000 Nondeductible Lobbying Expenses </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rFonts w:ascii="Times New Roman" w:hAnsi="Times New Roman" w:cs="Times New Roman"/>
                <w:sz w:val="24"/>
              </w:rPr>
            </w:pPr>
            <w:r>
              <w:rPr>
                <w:rFonts w:cs="Times New Roman" w:ascii="Times New Roman" w:hAnsi="Times New Roman"/>
                <w:sz w:val="24"/>
              </w:rPr>
              <w:t>February 20, 2001</w:t>
            </w:r>
          </w:p>
        </w:tc>
      </w:tr>
    </w:tbl>
    <w:p>
      <w:pPr>
        <w:pStyle w:val="Body"/>
        <w:rPr/>
      </w:pPr>
      <w:r>
        <w:rPr/>
      </w:r>
    </w:p>
    <w:p>
      <w:pPr>
        <w:pStyle w:val="Body"/>
        <w:rPr/>
      </w:pPr>
      <w:r>
        <w:rPr/>
      </w:r>
      <w:bookmarkStart w:id="3" w:name="StartOfMemo"/>
      <w:bookmarkStart w:id="4" w:name="StartOfMemo"/>
      <w:bookmarkEnd w:id="4"/>
    </w:p>
    <w:p>
      <w:pPr>
        <w:pStyle w:val="Body"/>
        <w:rPr/>
      </w:pPr>
      <w:r>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 xml:space="preserve">Under the tax law, Enron is prohibited from taking a tax deduction for certain expenses incurred in conducting lobbying activities.  Affected activities include (1) those conducted directly by Enron’s employees, and (2) those conducted by trade associations and coalitions to which Enron belongs.  To comply with this law, Enron’s employees must keep records of their time associated with lobbying activities. </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 xml:space="preserve">The general categories of lobbying activities listed below are the nondeductible activities for which Enron must collect information about employees’ time and are, therefore, the focus of the attached questionnaire.  The questionnaire should be completed by employees at all Enron affiliated entities who are employees in government affairs departments and any other employees who are identified as engaged in the activities described below and in the attached Lobbying Time Report.  </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 xml:space="preserve">In completing the attached questionnaire, every effort should be made to provide answers to the questions in whole hours.  However, answers expressed in terms of ratios or percentages will also be accepted.  </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 xml:space="preserve">The general categories of nondeductible lobbying activities covered by the attached questionnaire are as follows: </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left" w:pos="540" w:leader="none"/>
          <w:tab w:val="left" w:pos="1440" w:leader="none"/>
        </w:tabs>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Direct contact” lobbying; </w:t>
      </w:r>
    </w:p>
    <w:p>
      <w:pPr>
        <w:pStyle w:val="Normal"/>
        <w:numPr>
          <w:ilvl w:val="0"/>
          <w:numId w:val="2"/>
        </w:numPr>
        <w:tabs>
          <w:tab w:val="left" w:pos="540" w:leader="none"/>
          <w:tab w:val="left" w:pos="1440" w:leader="none"/>
        </w:tabs>
        <w:jc w:val="both"/>
        <w:rPr>
          <w:rFonts w:ascii="Times New Roman" w:hAnsi="Times New Roman" w:cs="Times New Roman"/>
        </w:rPr>
      </w:pPr>
      <w:r>
        <w:rPr>
          <w:rFonts w:cs="Times New Roman" w:ascii="Times New Roman" w:hAnsi="Times New Roman"/>
        </w:rPr>
        <w:t xml:space="preserve">Other attempts to influence federal, state, and foreign legislation; </w:t>
      </w:r>
    </w:p>
    <w:p>
      <w:pPr>
        <w:pStyle w:val="Normal"/>
        <w:numPr>
          <w:ilvl w:val="0"/>
          <w:numId w:val="2"/>
        </w:numPr>
        <w:tabs>
          <w:tab w:val="left" w:pos="540" w:leader="none"/>
          <w:tab w:val="left" w:pos="1440" w:leader="none"/>
        </w:tabs>
        <w:jc w:val="both"/>
        <w:rPr>
          <w:rFonts w:ascii="Times New Roman" w:hAnsi="Times New Roman" w:cs="Times New Roman"/>
        </w:rPr>
      </w:pPr>
      <w:r>
        <w:rPr>
          <w:rFonts w:cs="Times New Roman" w:ascii="Times New Roman" w:hAnsi="Times New Roman"/>
        </w:rPr>
        <w:t>Trade association activities;</w:t>
      </w:r>
    </w:p>
    <w:p>
      <w:pPr>
        <w:pStyle w:val="Normal"/>
        <w:numPr>
          <w:ilvl w:val="0"/>
          <w:numId w:val="2"/>
        </w:numPr>
        <w:tabs>
          <w:tab w:val="left" w:pos="540" w:leader="none"/>
          <w:tab w:val="left" w:pos="1440" w:leader="none"/>
        </w:tabs>
        <w:jc w:val="both"/>
        <w:rPr>
          <w:rFonts w:ascii="Times New Roman" w:hAnsi="Times New Roman" w:cs="Times New Roman"/>
        </w:rPr>
      </w:pPr>
      <w:r>
        <w:rPr>
          <w:rFonts w:cs="Times New Roman" w:ascii="Times New Roman" w:hAnsi="Times New Roman"/>
        </w:rPr>
        <w:t>Communications with Senior Executive Branch officials.</w:t>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AIOC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t>If you have any questions regarding how to complete the attached 2000 Lobbying Time Report, please contact Tara S. Rafter at (713) 345-8362.</w:t>
      </w:r>
    </w:p>
    <w:sectPr>
      <w:headerReference w:type="default" r:id="rId3"/>
      <w:headerReference w:type="first" r:id="rId4"/>
      <w:footerReference w:type="default" r:id="rId5"/>
      <w:footerReference w:type="first" r:id="rId6"/>
      <w:type w:val="nextPage"/>
      <w:pgSz w:w="12240" w:h="15840"/>
      <w:pgMar w:left="720" w:right="720" w:gutter="0" w:header="720" w:top="776" w:footer="36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440" w:hanging="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AIOCNORMAL">
    <w:name w:val="AIOC NORMAL"/>
    <w:basedOn w:val="Normal"/>
    <w:qFormat/>
    <w:pPr>
      <w:tabs>
        <w:tab w:val="clear" w:pos="540"/>
        <w:tab w:val="left" w:pos="1440" w:leader="none"/>
      </w:tabs>
    </w:pPr>
    <w:rPr>
      <w:rFonts w:ascii="Book Antiqua" w:hAnsi="Book Antiqua" w:cs="Book Antiqu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2001-02-20T21:28:00Z</dcterms:created>
  <dc:creator>Enron</dc:creator>
  <dc:description/>
  <dc:language>en-CA</dc:language>
  <cp:lastModifiedBy>trafter</cp:lastModifiedBy>
  <cp:lastPrinted>1999-04-01T18:25:00Z</cp:lastPrinted>
  <dcterms:modified xsi:type="dcterms:W3CDTF">2001-02-20T21:28:00Z</dcterms:modified>
  <cp:revision>2</cp:revision>
  <dc:subject/>
  <dc:title>Better, Faster, Simpler Memo </dc:title>
</cp:coreProperties>
</file>