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document.xml" ContentType="application/vnd.openxmlformats-officedocument.wordprocessingml.document.main+xml"/>
  <Override PartName="/word/styles.xml" ContentType="application/vnd.openxmlformats-officedocument.wordprocessingml.styles+xml"/>
  <Override PartName="/word/_rels/document.xml.rels" ContentType="application/vnd.openxmlformats-package.relationships+xml"/>
  <Override PartName="/word/media/image1.png" ContentType="image/png"/>
  <Override PartName="/word/header1.xml" ContentType="application/vnd.openxmlformats-officedocument.wordprocessingml.header+xml"/>
  <Override PartName="/word/footer2.xml" ContentType="application/vnd.openxmlformats-officedocument.wordprocessingml.footer+xml"/>
  <Override PartName="/word/header2.xml" ContentType="application/vnd.openxmlformats-officedocument.wordprocessingml.header+xml"/>
  <Override PartName="/word/settings.xml" ContentType="application/vnd.openxmlformats-officedocument.wordprocessingml.settings+xml"/>
  <Override PartName="/word/footer1.xml" ContentType="application/vnd.openxmlformats-officedocument.wordprocessingml.footer+xml"/>
  <Override PartName="/word/numbering.xml" ContentType="application/vnd.openxmlformats-officedocument.wordprocessingml.numbering+xml"/>
  <Override PartName="/word/fontTable.xml" ContentType="application/vnd.openxmlformats-officedocument.wordprocessingml.fontTable+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Heading"/>
        <w:rPr>
          <w:sz w:val="23"/>
        </w:rPr>
      </w:pPr>
      <w:r>
        <w:rPr>
          <w:sz w:val="23"/>
        </w:rPr>
      </w:r>
      <w:r>
        <mc:AlternateContent>
          <mc:Choice Requires="wps">
            <w:drawing>
              <wp:anchor behindDoc="0" distT="0" distB="0" distL="118745" distR="118745" simplePos="0" locked="0" layoutInCell="0" allowOverlap="1" relativeHeight="2">
                <wp:simplePos x="0" y="0"/>
                <wp:positionH relativeFrom="page">
                  <wp:posOffset>915035</wp:posOffset>
                </wp:positionH>
                <wp:positionV relativeFrom="page">
                  <wp:posOffset>457835</wp:posOffset>
                </wp:positionV>
                <wp:extent cx="1557020" cy="1188720"/>
                <wp:effectExtent l="0" t="0" r="0" b="0"/>
                <wp:wrapSquare wrapText="bothSides"/>
                <wp:docPr id="1" name="Frame1"/>
                <a:graphic xmlns:a="http://schemas.openxmlformats.org/drawingml/2006/main">
                  <a:graphicData uri="http://schemas.microsoft.com/office/word/2010/wordprocessingShape">
                    <wps:wsp>
                      <wps:cNvSpPr txBox="1"/>
                      <wps:spPr>
                        <a:xfrm>
                          <a:off x="0" y="0"/>
                          <a:ext cx="1557020" cy="1188720"/>
                        </a:xfrm>
                        <a:prstGeom prst="rect"/>
                        <a:solidFill>
                          <a:srgbClr val="FFFFFF">
                            <a:alpha val="0"/>
                          </a:srgbClr>
                        </a:solidFill>
                      </wps:spPr>
                      <wps:txbx>
                        <w:txbxContent>
                          <w:p>
                            <w:pPr>
                              <w:pStyle w:val="Normal"/>
                              <w:rPr>
                                <w:sz w:val="23"/>
                              </w:rPr>
                            </w:pPr>
                            <w:r>
                              <w:rPr>
                                <w:sz w:val="23"/>
                              </w:rPr>
                              <w:tab/>
                            </w:r>
                            <w:r>
                              <w:rPr>
                                <w:sz w:val="23"/>
                              </w:rPr>
                              <w:drawing>
                                <wp:inline distT="0" distB="0" distL="0" distR="0">
                                  <wp:extent cx="1213485" cy="1188720"/>
                                  <wp:effectExtent l="0" t="0" r="0" b="0"/>
                                  <wp:docPr id="2"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 descr="" title=""/>
                                          <pic:cNvPicPr>
                                            <a:picLocks noChangeAspect="1" noChangeArrowheads="1"/>
                                          </pic:cNvPicPr>
                                        </pic:nvPicPr>
                                        <pic:blipFill>
                                          <a:blip r:embed="rId2"/>
                                          <a:srcRect l="-39" t="-39" r="-39" b="-39"/>
                                          <a:stretch>
                                            <a:fillRect/>
                                          </a:stretch>
                                        </pic:blipFill>
                                        <pic:spPr bwMode="auto">
                                          <a:xfrm>
                                            <a:off x="0" y="0"/>
                                            <a:ext cx="1213485" cy="1188720"/>
                                          </a:xfrm>
                                          <a:prstGeom prst="rect">
                                            <a:avLst/>
                                          </a:prstGeom>
                                          <a:noFill/>
                                        </pic:spPr>
                                      </pic:pic>
                                    </a:graphicData>
                                  </a:graphic>
                                </wp:inline>
                              </w:drawing>
                            </w:r>
                          </w:p>
                        </w:txbxContent>
                      </wps:txbx>
                      <wps:bodyPr anchor="t" lIns="0" tIns="0" rIns="0" bIns="0">
                        <a:noAutofit/>
                      </wps:bodyPr>
                    </wps:wsp>
                  </a:graphicData>
                </a:graphic>
              </wp:anchor>
            </w:drawing>
          </mc:Choice>
          <mc:Fallback>
            <w:pict>
              <v:rect fillcolor="#FFFFFF" style="position:absolute;rotation:-0;width:122.6pt;height:93.6pt;mso-wrap-distance-left:9.35pt;mso-wrap-distance-right:9.35pt;mso-wrap-distance-top:0pt;mso-wrap-distance-bottom:0pt;margin-top:36.05pt;mso-position-vertical-relative:page;margin-left:72.05pt;mso-position-horizontal-relative:page">
                <v:fill opacity="0f"/>
                <v:textbox inset="0in,0in,0in,0in">
                  <w:txbxContent>
                    <w:p>
                      <w:pPr>
                        <w:pStyle w:val="Normal"/>
                        <w:rPr>
                          <w:sz w:val="23"/>
                        </w:rPr>
                      </w:pPr>
                      <w:r>
                        <w:rPr>
                          <w:sz w:val="23"/>
                        </w:rPr>
                        <w:tab/>
                      </w:r>
                      <w:r>
                        <w:rPr>
                          <w:sz w:val="23"/>
                        </w:rPr>
                        <w:drawing>
                          <wp:inline distT="0" distB="0" distL="0" distR="0">
                            <wp:extent cx="1213485" cy="1188720"/>
                            <wp:effectExtent l="0" t="0" r="0" b="0"/>
                            <wp:docPr id="3" name="Image1" descr="" titl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1" descr="" title=""/>
                                    <pic:cNvPicPr>
                                      <a:picLocks noChangeAspect="1" noChangeArrowheads="1"/>
                                    </pic:cNvPicPr>
                                  </pic:nvPicPr>
                                  <pic:blipFill>
                                    <a:blip r:embed="rId3"/>
                                    <a:srcRect l="-39" t="-39" r="-39" b="-39"/>
                                    <a:stretch>
                                      <a:fillRect/>
                                    </a:stretch>
                                  </pic:blipFill>
                                  <pic:spPr bwMode="auto">
                                    <a:xfrm>
                                      <a:off x="0" y="0"/>
                                      <a:ext cx="1213485" cy="1188720"/>
                                    </a:xfrm>
                                    <a:prstGeom prst="rect">
                                      <a:avLst/>
                                    </a:prstGeom>
                                    <a:noFill/>
                                  </pic:spPr>
                                </pic:pic>
                              </a:graphicData>
                            </a:graphic>
                          </wp:inline>
                        </w:drawing>
                      </w:r>
                    </w:p>
                  </w:txbxContent>
                </v:textbox>
                <w10:wrap type="square"/>
              </v:rect>
            </w:pict>
          </mc:Fallback>
        </mc:AlternateContent>
      </w:r>
    </w:p>
    <w:p>
      <w:pPr>
        <w:pStyle w:val="Heading"/>
        <w:rPr>
          <w:sz w:val="23"/>
        </w:rPr>
      </w:pPr>
      <w:r>
        <w:rPr>
          <w:sz w:val="23"/>
        </w:rPr>
      </w:r>
    </w:p>
    <w:p>
      <w:pPr>
        <w:pStyle w:val="Heading"/>
        <w:rPr>
          <w:sz w:val="23"/>
        </w:rPr>
      </w:pPr>
      <w:r>
        <w:rPr>
          <w:sz w:val="23"/>
        </w:rPr>
      </w:r>
    </w:p>
    <w:p>
      <w:pPr>
        <w:pStyle w:val="Heading"/>
        <w:rPr>
          <w:sz w:val="23"/>
        </w:rPr>
      </w:pPr>
      <w:r>
        <w:rPr>
          <w:sz w:val="23"/>
        </w:rPr>
      </w:r>
      <w:r>
        <mc:AlternateContent>
          <mc:Choice Requires="wps">
            <w:drawing>
              <wp:anchor behindDoc="0" distT="0" distB="0" distL="118745" distR="118745" simplePos="0" locked="0" layoutInCell="0" allowOverlap="1" relativeHeight="4">
                <wp:simplePos x="0" y="0"/>
                <wp:positionH relativeFrom="page">
                  <wp:posOffset>2905125</wp:posOffset>
                </wp:positionH>
                <wp:positionV relativeFrom="page">
                  <wp:posOffset>1489075</wp:posOffset>
                </wp:positionV>
                <wp:extent cx="4013835" cy="569595"/>
                <wp:effectExtent l="0" t="0" r="0" b="0"/>
                <wp:wrapSquare wrapText="bothSides"/>
                <wp:docPr id="4" name="Frame2"/>
                <a:graphic xmlns:a="http://schemas.openxmlformats.org/drawingml/2006/main">
                  <a:graphicData uri="http://schemas.microsoft.com/office/word/2010/wordprocessingShape">
                    <wps:wsp>
                      <wps:cNvSpPr txBox="1"/>
                      <wps:spPr>
                        <a:xfrm>
                          <a:off x="0" y="0"/>
                          <a:ext cx="4013835" cy="569595"/>
                        </a:xfrm>
                        <a:prstGeom prst="rect"/>
                        <a:solidFill>
                          <a:srgbClr val="FFFFFF">
                            <a:alpha val="0"/>
                          </a:srgbClr>
                        </a:solidFill>
                      </wps:spPr>
                      <wps:txbx>
                        <w:txbxContent>
                          <w:p>
                            <w:pPr>
                              <w:pStyle w:val="Normal"/>
                              <w:rPr/>
                            </w:pPr>
                            <w:r>
                              <w:rPr>
                                <w:i/>
                                <w:sz w:val="23"/>
                              </w:rPr>
                              <w:tab/>
                            </w:r>
                            <w:r>
                              <w:rPr>
                                <w:i/>
                                <w:sz w:val="22"/>
                                <w:u w:val="single"/>
                              </w:rPr>
                              <w:t>PRIVILEGED AND CONFIDENTIAL ATTORNEY-CLIENT</w:t>
                            </w:r>
                          </w:p>
                          <w:p>
                            <w:pPr>
                              <w:pStyle w:val="Normal"/>
                              <w:rPr>
                                <w:sz w:val="22"/>
                              </w:rPr>
                            </w:pPr>
                            <w:r>
                              <w:rPr>
                                <w:i/>
                                <w:sz w:val="22"/>
                              </w:rPr>
                              <w:tab/>
                            </w:r>
                            <w:r>
                              <w:rPr>
                                <w:i/>
                                <w:sz w:val="22"/>
                                <w:u w:val="single"/>
                              </w:rPr>
                              <w:t>COMMUNICATION AND ATTORNEY WORK PRODUCT</w:t>
                            </w:r>
                          </w:p>
                        </w:txbxContent>
                      </wps:txbx>
                      <wps:bodyPr anchor="t" lIns="0" tIns="0" rIns="0" bIns="0">
                        <a:noAutofit/>
                      </wps:bodyPr>
                    </wps:wsp>
                  </a:graphicData>
                </a:graphic>
              </wp:anchor>
            </w:drawing>
          </mc:Choice>
          <mc:Fallback>
            <w:pict>
              <v:rect fillcolor="#FFFFFF" style="position:absolute;rotation:-0;width:316.05pt;height:44.85pt;mso-wrap-distance-left:9.35pt;mso-wrap-distance-right:9.35pt;mso-wrap-distance-top:0pt;mso-wrap-distance-bottom:0pt;margin-top:117.25pt;mso-position-vertical-relative:page;margin-left:228.75pt;mso-position-horizontal-relative:page">
                <v:fill opacity="0f"/>
                <v:textbox inset="0in,0in,0in,0in">
                  <w:txbxContent>
                    <w:p>
                      <w:pPr>
                        <w:pStyle w:val="Normal"/>
                        <w:rPr/>
                      </w:pPr>
                      <w:r>
                        <w:rPr>
                          <w:i/>
                          <w:sz w:val="23"/>
                        </w:rPr>
                        <w:tab/>
                      </w:r>
                      <w:r>
                        <w:rPr>
                          <w:i/>
                          <w:sz w:val="22"/>
                          <w:u w:val="single"/>
                        </w:rPr>
                        <w:t>PRIVILEGED AND CONFIDENTIAL ATTORNEY-CLIENT</w:t>
                      </w:r>
                    </w:p>
                    <w:p>
                      <w:pPr>
                        <w:pStyle w:val="Normal"/>
                        <w:rPr>
                          <w:sz w:val="22"/>
                        </w:rPr>
                      </w:pPr>
                      <w:r>
                        <w:rPr>
                          <w:i/>
                          <w:sz w:val="22"/>
                        </w:rPr>
                        <w:tab/>
                      </w:r>
                      <w:r>
                        <w:rPr>
                          <w:i/>
                          <w:sz w:val="22"/>
                          <w:u w:val="single"/>
                        </w:rPr>
                        <w:t>COMMUNICATION AND ATTORNEY WORK PRODUCT</w:t>
                      </w:r>
                    </w:p>
                  </w:txbxContent>
                </v:textbox>
                <w10:wrap type="square"/>
              </v:rect>
            </w:pict>
          </mc:Fallback>
        </mc:AlternateContent>
      </w:r>
    </w:p>
    <w:p>
      <w:pPr>
        <w:pStyle w:val="Heading"/>
        <w:rPr>
          <w:sz w:val="23"/>
        </w:rPr>
      </w:pPr>
      <w:r>
        <w:rPr>
          <w:sz w:val="23"/>
        </w:rPr>
      </w:r>
    </w:p>
    <w:p>
      <w:pPr>
        <w:pStyle w:val="Normal"/>
        <w:jc w:val="end"/>
        <w:rPr>
          <w:i/>
          <w:i/>
          <w:sz w:val="23"/>
          <w:u w:val="single"/>
        </w:rPr>
      </w:pPr>
      <w:r>
        <w:rPr>
          <w:i/>
          <w:sz w:val="23"/>
          <w:u w:val="single"/>
        </w:rPr>
      </w:r>
    </w:p>
    <w:tbl>
      <w:tblPr>
        <w:tblW w:w="10082" w:type="dxa"/>
        <w:jc w:val="start"/>
        <w:tblInd w:w="108" w:type="dxa"/>
        <w:tblLayout w:type="fixed"/>
        <w:tblCellMar>
          <w:top w:w="0" w:type="dxa"/>
          <w:start w:w="108" w:type="dxa"/>
          <w:bottom w:w="0" w:type="dxa"/>
          <w:end w:w="108" w:type="dxa"/>
        </w:tblCellMar>
      </w:tblPr>
      <w:tblGrid>
        <w:gridCol w:w="1020"/>
        <w:gridCol w:w="7"/>
        <w:gridCol w:w="5407"/>
        <w:gridCol w:w="7"/>
        <w:gridCol w:w="1394"/>
        <w:gridCol w:w="7"/>
        <w:gridCol w:w="2233"/>
        <w:gridCol w:w="7"/>
      </w:tblGrid>
      <w:tr>
        <w:trPr>
          <w:trHeight w:val="332" w:hRule="exact"/>
        </w:trPr>
        <w:tc>
          <w:tcPr>
            <w:tcW w:w="1027" w:type="dxa"/>
            <w:gridSpan w:val="2"/>
            <w:tcBorders>
              <w:top w:val="single" w:sz="12" w:space="0" w:color="000000"/>
            </w:tcBorders>
          </w:tcPr>
          <w:p>
            <w:pPr>
              <w:pStyle w:val="Normal"/>
              <w:snapToGrid w:val="false"/>
              <w:rPr>
                <w:sz w:val="23"/>
              </w:rPr>
            </w:pPr>
            <w:r>
              <w:rPr>
                <w:sz w:val="23"/>
              </w:rPr>
            </w:r>
          </w:p>
        </w:tc>
        <w:tc>
          <w:tcPr>
            <w:tcW w:w="5414" w:type="dxa"/>
            <w:gridSpan w:val="2"/>
            <w:tcBorders>
              <w:top w:val="single" w:sz="12" w:space="0" w:color="000000"/>
            </w:tcBorders>
          </w:tcPr>
          <w:p>
            <w:pPr>
              <w:pStyle w:val="Normal"/>
              <w:snapToGrid w:val="false"/>
              <w:rPr>
                <w:sz w:val="23"/>
              </w:rPr>
            </w:pPr>
            <w:r>
              <w:rPr>
                <w:sz w:val="23"/>
              </w:rPr>
            </w:r>
          </w:p>
        </w:tc>
        <w:tc>
          <w:tcPr>
            <w:tcW w:w="1401" w:type="dxa"/>
            <w:gridSpan w:val="2"/>
            <w:tcBorders>
              <w:top w:val="single" w:sz="12" w:space="0" w:color="000000"/>
            </w:tcBorders>
          </w:tcPr>
          <w:p>
            <w:pPr>
              <w:pStyle w:val="Normal"/>
              <w:snapToGrid w:val="false"/>
              <w:rPr>
                <w:sz w:val="23"/>
              </w:rPr>
            </w:pPr>
            <w:r>
              <w:rPr>
                <w:sz w:val="23"/>
              </w:rPr>
            </w:r>
          </w:p>
        </w:tc>
        <w:tc>
          <w:tcPr>
            <w:tcW w:w="2240" w:type="dxa"/>
            <w:tcBorders>
              <w:top w:val="single" w:sz="12" w:space="0" w:color="000000"/>
            </w:tcBorders>
          </w:tcPr>
          <w:p>
            <w:pPr>
              <w:pStyle w:val="Normal"/>
              <w:snapToGrid w:val="false"/>
              <w:rPr>
                <w:sz w:val="23"/>
              </w:rPr>
            </w:pPr>
            <w:r>
              <w:rPr>
                <w:sz w:val="23"/>
              </w:rPr>
            </w:r>
          </w:p>
        </w:tc>
      </w:tr>
      <w:tr>
        <w:trPr>
          <w:trHeight w:val="332" w:hRule="exact"/>
        </w:trPr>
        <w:tc>
          <w:tcPr>
            <w:tcW w:w="1027" w:type="dxa"/>
            <w:gridSpan w:val="2"/>
            <w:tcBorders/>
          </w:tcPr>
          <w:p>
            <w:pPr>
              <w:pStyle w:val="Normal"/>
              <w:ind w:start="-180" w:end="0"/>
              <w:jc w:val="end"/>
              <w:rPr>
                <w:sz w:val="23"/>
              </w:rPr>
            </w:pPr>
            <w:r>
              <w:rPr>
                <w:sz w:val="23"/>
              </w:rPr>
              <w:t>To:</w:t>
            </w:r>
          </w:p>
        </w:tc>
        <w:tc>
          <w:tcPr>
            <w:tcW w:w="5414" w:type="dxa"/>
            <w:gridSpan w:val="2"/>
            <w:tcBorders/>
          </w:tcPr>
          <w:p>
            <w:pPr>
              <w:pStyle w:val="To"/>
              <w:rPr>
                <w:sz w:val="23"/>
              </w:rPr>
            </w:pPr>
            <w:r>
              <w:rPr>
                <w:sz w:val="23"/>
              </w:rPr>
              <w:t>Mark E. Haedicke</w:t>
            </w:r>
          </w:p>
        </w:tc>
        <w:tc>
          <w:tcPr>
            <w:tcW w:w="1401" w:type="dxa"/>
            <w:gridSpan w:val="2"/>
            <w:tcBorders/>
          </w:tcPr>
          <w:p>
            <w:pPr>
              <w:pStyle w:val="Normal"/>
              <w:snapToGrid w:val="false"/>
              <w:ind w:start="-180" w:end="0"/>
              <w:jc w:val="end"/>
              <w:rPr>
                <w:sz w:val="23"/>
              </w:rPr>
            </w:pPr>
            <w:r>
              <w:rPr>
                <w:sz w:val="23"/>
              </w:rPr>
            </w:r>
          </w:p>
        </w:tc>
        <w:tc>
          <w:tcPr>
            <w:tcW w:w="2240" w:type="dxa"/>
            <w:tcBorders/>
          </w:tcPr>
          <w:p>
            <w:pPr>
              <w:pStyle w:val="Normal"/>
              <w:snapToGrid w:val="false"/>
              <w:jc w:val="end"/>
              <w:rPr>
                <w:sz w:val="23"/>
              </w:rPr>
            </w:pPr>
            <w:r>
              <w:rPr>
                <w:sz w:val="23"/>
              </w:rPr>
            </w:r>
          </w:p>
        </w:tc>
      </w:tr>
      <w:tr>
        <w:trPr>
          <w:trHeight w:val="558" w:hRule="exact"/>
        </w:trPr>
        <w:tc>
          <w:tcPr>
            <w:tcW w:w="1027" w:type="dxa"/>
            <w:gridSpan w:val="2"/>
            <w:tcBorders/>
          </w:tcPr>
          <w:p>
            <w:pPr>
              <w:pStyle w:val="Normal"/>
              <w:ind w:start="-180" w:end="0"/>
              <w:jc w:val="end"/>
              <w:rPr>
                <w:sz w:val="23"/>
              </w:rPr>
            </w:pPr>
            <w:r>
              <w:rPr>
                <w:sz w:val="23"/>
              </w:rPr>
              <w:t>From:</w:t>
            </w:r>
          </w:p>
        </w:tc>
        <w:tc>
          <w:tcPr>
            <w:tcW w:w="5414" w:type="dxa"/>
            <w:gridSpan w:val="2"/>
            <w:tcBorders/>
          </w:tcPr>
          <w:p>
            <w:pPr>
              <w:pStyle w:val="From"/>
              <w:rPr>
                <w:sz w:val="23"/>
              </w:rPr>
            </w:pPr>
            <w:r>
              <w:rPr>
                <w:sz w:val="23"/>
              </w:rPr>
              <w:t>Andy Edison                                                      Richard Sanders</w:t>
            </w:r>
          </w:p>
        </w:tc>
        <w:tc>
          <w:tcPr>
            <w:tcW w:w="1401" w:type="dxa"/>
            <w:gridSpan w:val="2"/>
            <w:tcBorders/>
          </w:tcPr>
          <w:p>
            <w:pPr>
              <w:pStyle w:val="Normal"/>
              <w:ind w:start="-180" w:end="0"/>
              <w:jc w:val="end"/>
              <w:rPr>
                <w:sz w:val="23"/>
              </w:rPr>
            </w:pPr>
            <w:r>
              <w:rPr>
                <w:sz w:val="23"/>
              </w:rPr>
              <w:t>Department:</w:t>
            </w:r>
          </w:p>
        </w:tc>
        <w:tc>
          <w:tcPr>
            <w:tcW w:w="2240" w:type="dxa"/>
            <w:tcBorders/>
          </w:tcPr>
          <w:p>
            <w:pPr>
              <w:pStyle w:val="Department"/>
              <w:rPr>
                <w:sz w:val="23"/>
              </w:rPr>
            </w:pPr>
            <w:bookmarkStart w:id="0" w:name="From"/>
            <w:bookmarkEnd w:id="0"/>
            <w:r>
              <w:rPr>
                <w:sz w:val="23"/>
              </w:rPr>
              <w:t>EWS Legal</w:t>
            </w:r>
          </w:p>
        </w:tc>
      </w:tr>
      <w:tr>
        <w:trPr>
          <w:trHeight w:val="306" w:hRule="exact"/>
        </w:trPr>
        <w:tc>
          <w:tcPr>
            <w:tcW w:w="1020" w:type="dxa"/>
            <w:tcBorders>
              <w:bottom w:val="double" w:sz="6" w:space="0" w:color="000000"/>
            </w:tcBorders>
          </w:tcPr>
          <w:p>
            <w:pPr>
              <w:pStyle w:val="Normal"/>
              <w:ind w:start="-180" w:end="0"/>
              <w:jc w:val="end"/>
              <w:rPr>
                <w:sz w:val="23"/>
              </w:rPr>
            </w:pPr>
            <w:r>
              <w:rPr>
                <w:sz w:val="23"/>
              </w:rPr>
              <w:t>Subject:</w:t>
            </w:r>
          </w:p>
        </w:tc>
        <w:tc>
          <w:tcPr>
            <w:tcW w:w="5414" w:type="dxa"/>
            <w:gridSpan w:val="2"/>
            <w:tcBorders>
              <w:bottom w:val="double" w:sz="6" w:space="0" w:color="000000"/>
            </w:tcBorders>
          </w:tcPr>
          <w:p>
            <w:pPr>
              <w:pStyle w:val="Subject"/>
              <w:rPr>
                <w:sz w:val="23"/>
              </w:rPr>
            </w:pPr>
            <w:r>
              <w:rPr>
                <w:sz w:val="23"/>
              </w:rPr>
              <w:t>Status of EWS Litigation</w:t>
            </w:r>
          </w:p>
        </w:tc>
        <w:tc>
          <w:tcPr>
            <w:tcW w:w="1401" w:type="dxa"/>
            <w:gridSpan w:val="2"/>
            <w:tcBorders>
              <w:bottom w:val="double" w:sz="6" w:space="0" w:color="000000"/>
            </w:tcBorders>
          </w:tcPr>
          <w:p>
            <w:pPr>
              <w:pStyle w:val="Normal"/>
              <w:ind w:start="-180" w:end="0"/>
              <w:jc w:val="end"/>
              <w:rPr>
                <w:sz w:val="23"/>
              </w:rPr>
            </w:pPr>
            <w:r>
              <w:rPr>
                <w:sz w:val="23"/>
              </w:rPr>
              <w:t>Date:</w:t>
            </w:r>
          </w:p>
        </w:tc>
        <w:tc>
          <w:tcPr>
            <w:tcW w:w="2240" w:type="dxa"/>
            <w:gridSpan w:val="2"/>
            <w:tcBorders>
              <w:bottom w:val="double" w:sz="6" w:space="0" w:color="000000"/>
            </w:tcBorders>
          </w:tcPr>
          <w:p>
            <w:pPr>
              <w:pStyle w:val="Subject"/>
              <w:tabs>
                <w:tab w:val="left" w:pos="540" w:leader="none"/>
              </w:tabs>
              <w:spacing w:before="0" w:after="120"/>
              <w:rPr>
                <w:sz w:val="23"/>
              </w:rPr>
            </w:pPr>
            <w:r>
              <w:rPr>
                <w:sz w:val="23"/>
              </w:rPr>
              <w:t>April 17, 2001</w:t>
            </w:r>
          </w:p>
        </w:tc>
      </w:tr>
    </w:tbl>
    <w:p>
      <w:pPr>
        <w:pStyle w:val="Body"/>
        <w:rPr>
          <w:sz w:val="23"/>
        </w:rPr>
      </w:pPr>
      <w:r>
        <w:rPr>
          <w:sz w:val="23"/>
        </w:rPr>
      </w:r>
      <w:bookmarkStart w:id="1" w:name="StartOfMemo"/>
      <w:bookmarkStart w:id="2" w:name="StartOfMemo"/>
      <w:bookmarkEnd w:id="2"/>
    </w:p>
    <w:p>
      <w:pPr>
        <w:pStyle w:val="Body"/>
        <w:ind w:start="0" w:end="0"/>
        <w:rPr>
          <w:b/>
          <w:sz w:val="23"/>
        </w:rPr>
      </w:pPr>
      <w:r>
        <w:rPr>
          <w:b/>
          <w:sz w:val="23"/>
        </w:rPr>
        <w:t>ACTIVE LITIGATION</w:t>
      </w:r>
    </w:p>
    <w:p>
      <w:pPr>
        <w:pStyle w:val="Body"/>
        <w:ind w:start="0" w:end="0"/>
        <w:rPr>
          <w:b/>
          <w:sz w:val="23"/>
          <w:u w:val="single"/>
        </w:rPr>
      </w:pPr>
      <w:r>
        <w:rPr>
          <w:b/>
          <w:sz w:val="23"/>
          <w:u w:val="single"/>
        </w:rPr>
      </w:r>
    </w:p>
    <w:p>
      <w:pPr>
        <w:pStyle w:val="Heading7"/>
        <w:ind w:hanging="0" w:start="0"/>
        <w:rPr>
          <w:sz w:val="23"/>
        </w:rPr>
      </w:pPr>
      <w:r>
        <w:rPr>
          <w:sz w:val="23"/>
        </w:rPr>
        <w:t>Berry Group, Ltd v. Enron North America</w:t>
      </w:r>
    </w:p>
    <w:p>
      <w:pPr>
        <w:pStyle w:val="Body"/>
        <w:ind w:start="0" w:end="0"/>
        <w:rPr>
          <w:bCs/>
          <w:color w:val="000000"/>
          <w:sz w:val="23"/>
        </w:rPr>
      </w:pPr>
      <w:r>
        <w:rPr>
          <w:bCs/>
          <w:color w:val="000000"/>
          <w:sz w:val="23"/>
        </w:rPr>
        <w:t>(Corpus Christi State District Court) (Bracewell &amp; Patterson/Cliff Gunter)</w:t>
      </w:r>
    </w:p>
    <w:p>
      <w:pPr>
        <w:pStyle w:val="Body"/>
        <w:ind w:start="0" w:end="0"/>
        <w:rPr>
          <w:bCs/>
          <w:color w:val="000000"/>
          <w:sz w:val="23"/>
          <w:u w:val="single"/>
        </w:rPr>
      </w:pPr>
      <w:r>
        <w:rPr>
          <w:bCs/>
          <w:color w:val="000000"/>
          <w:sz w:val="23"/>
          <w:u w:val="single"/>
        </w:rPr>
      </w:r>
    </w:p>
    <w:p>
      <w:pPr>
        <w:pStyle w:val="Normal"/>
        <w:numPr>
          <w:ilvl w:val="0"/>
          <w:numId w:val="4"/>
        </w:numPr>
        <w:jc w:val="both"/>
        <w:rPr>
          <w:bCs/>
          <w:sz w:val="23"/>
        </w:rPr>
      </w:pPr>
      <w:r>
        <w:rPr>
          <w:bCs/>
          <w:sz w:val="23"/>
        </w:rPr>
        <w:t>Berry Group is a Corpus Christi based company that lost over $6 million in the Qualitech bankruptcy.</w:t>
      </w:r>
    </w:p>
    <w:p>
      <w:pPr>
        <w:pStyle w:val="Normal"/>
        <w:numPr>
          <w:ilvl w:val="0"/>
          <w:numId w:val="4"/>
        </w:numPr>
        <w:jc w:val="both"/>
        <w:rPr>
          <w:bCs/>
          <w:sz w:val="23"/>
        </w:rPr>
      </w:pPr>
      <w:r>
        <w:rPr>
          <w:bCs/>
          <w:sz w:val="23"/>
        </w:rPr>
        <w:t>Berry alleges that Enron, through Kevin McConville, represented to the Berrys that Enron would pay for any losses the Berry’s incurred as a result of Qualitech bankruptcy.</w:t>
      </w:r>
    </w:p>
    <w:p>
      <w:pPr>
        <w:pStyle w:val="Normal"/>
        <w:numPr>
          <w:ilvl w:val="0"/>
          <w:numId w:val="4"/>
        </w:numPr>
        <w:jc w:val="both"/>
        <w:rPr>
          <w:bCs/>
          <w:sz w:val="23"/>
        </w:rPr>
      </w:pPr>
      <w:r>
        <w:rPr>
          <w:bCs/>
          <w:sz w:val="23"/>
        </w:rPr>
        <w:t>Kevin McConville’s deposition took place on January 11, 2001.  His testimony was favorable to Enron.</w:t>
      </w:r>
    </w:p>
    <w:p>
      <w:pPr>
        <w:pStyle w:val="Normal"/>
        <w:numPr>
          <w:ilvl w:val="0"/>
          <w:numId w:val="4"/>
        </w:numPr>
        <w:jc w:val="both"/>
        <w:rPr>
          <w:b/>
          <w:sz w:val="23"/>
        </w:rPr>
      </w:pPr>
      <w:r>
        <w:rPr>
          <w:b/>
          <w:sz w:val="23"/>
        </w:rPr>
        <w:t>Discovery is proceeding.</w:t>
      </w:r>
    </w:p>
    <w:p>
      <w:pPr>
        <w:pStyle w:val="Normal"/>
        <w:jc w:val="both"/>
        <w:rPr>
          <w:b/>
          <w:i/>
          <w:i/>
          <w:sz w:val="23"/>
          <w:u w:val="single"/>
        </w:rPr>
      </w:pPr>
      <w:r>
        <w:rPr>
          <w:b/>
          <w:i/>
          <w:sz w:val="23"/>
          <w:u w:val="single"/>
        </w:rPr>
      </w:r>
    </w:p>
    <w:p>
      <w:pPr>
        <w:pStyle w:val="Heading7"/>
        <w:ind w:hanging="0" w:start="0"/>
        <w:rPr>
          <w:sz w:val="23"/>
        </w:rPr>
      </w:pPr>
      <w:r>
        <w:rPr>
          <w:sz w:val="23"/>
        </w:rPr>
        <w:t>Citrus v. Duke LNG Sales Dispute</w:t>
      </w:r>
    </w:p>
    <w:p>
      <w:pPr>
        <w:pStyle w:val="Normal"/>
        <w:jc w:val="both"/>
        <w:rPr>
          <w:bCs/>
          <w:sz w:val="23"/>
        </w:rPr>
      </w:pPr>
      <w:r>
        <w:rPr>
          <w:bCs/>
          <w:sz w:val="23"/>
        </w:rPr>
        <w:t>(AAA Arbitration) (Susman Godfrey/Neal Manne)</w:t>
      </w:r>
    </w:p>
    <w:p>
      <w:pPr>
        <w:pStyle w:val="Normal"/>
        <w:jc w:val="both"/>
        <w:rPr>
          <w:bCs/>
          <w:sz w:val="23"/>
        </w:rPr>
      </w:pPr>
      <w:r>
        <w:rPr>
          <w:bCs/>
          <w:sz w:val="23"/>
        </w:rPr>
      </w:r>
    </w:p>
    <w:p>
      <w:pPr>
        <w:pStyle w:val="Normal"/>
        <w:numPr>
          <w:ilvl w:val="0"/>
          <w:numId w:val="4"/>
        </w:numPr>
        <w:jc w:val="both"/>
        <w:rPr>
          <w:bCs/>
          <w:sz w:val="23"/>
        </w:rPr>
      </w:pPr>
      <w:r>
        <w:rPr>
          <w:bCs/>
          <w:sz w:val="23"/>
        </w:rPr>
        <w:t>Duke has initiated the price renegotiation provision of the long term LNG sales agreement between Duke and Citrus.  Because the parties could not agree on a new price under the contract, the new price will be decided by a three-person arbitration panel.</w:t>
      </w:r>
    </w:p>
    <w:p>
      <w:pPr>
        <w:pStyle w:val="Normal"/>
        <w:numPr>
          <w:ilvl w:val="0"/>
          <w:numId w:val="4"/>
        </w:numPr>
        <w:jc w:val="both"/>
        <w:rPr>
          <w:b/>
          <w:sz w:val="23"/>
        </w:rPr>
      </w:pPr>
      <w:r>
        <w:rPr>
          <w:bCs/>
          <w:sz w:val="23"/>
        </w:rPr>
        <w:t xml:space="preserve">Duke’s position in arbitration is that the price cap provisions in the contract are void and that Duke is entitled to either receive a market price or cancel the contract.  </w:t>
      </w:r>
      <w:r>
        <w:rPr>
          <w:b/>
          <w:sz w:val="23"/>
        </w:rPr>
        <w:t>Citrus filed a motion in the arbitration arguing that Duke’s position was not within the jurisdiction of the arbitration panel and should be struck.  The arbitration panel deferred its decision on Citrus’ motion until after the arbitration.</w:t>
      </w:r>
    </w:p>
    <w:p>
      <w:pPr>
        <w:pStyle w:val="Normal"/>
        <w:numPr>
          <w:ilvl w:val="0"/>
          <w:numId w:val="4"/>
        </w:numPr>
        <w:jc w:val="both"/>
        <w:rPr>
          <w:bCs/>
          <w:sz w:val="23"/>
        </w:rPr>
      </w:pPr>
      <w:r>
        <w:rPr>
          <w:bCs/>
          <w:sz w:val="23"/>
        </w:rPr>
        <w:t>The market-to-market value to Enron is over $250 million.</w:t>
      </w:r>
    </w:p>
    <w:p>
      <w:pPr>
        <w:pStyle w:val="Normal"/>
        <w:numPr>
          <w:ilvl w:val="0"/>
          <w:numId w:val="4"/>
        </w:numPr>
        <w:jc w:val="both"/>
        <w:rPr>
          <w:bCs/>
          <w:sz w:val="23"/>
        </w:rPr>
      </w:pPr>
      <w:r>
        <w:rPr>
          <w:bCs/>
          <w:sz w:val="23"/>
        </w:rPr>
        <w:t>Both sides have chosen arbitrators.  Enron chose Mike Beatty.  The neutral arbitrator is Joe Morris, former Federal District Judge and General Counsel of Shell.</w:t>
      </w:r>
    </w:p>
    <w:p>
      <w:pPr>
        <w:pStyle w:val="Normal"/>
        <w:numPr>
          <w:ilvl w:val="0"/>
          <w:numId w:val="4"/>
        </w:numPr>
        <w:jc w:val="both"/>
        <w:rPr>
          <w:b/>
          <w:sz w:val="23"/>
        </w:rPr>
      </w:pPr>
      <w:r>
        <w:rPr>
          <w:b/>
          <w:sz w:val="23"/>
        </w:rPr>
        <w:t>The arbitration is scheduled in August 2001.</w:t>
      </w:r>
    </w:p>
    <w:p>
      <w:pPr>
        <w:pStyle w:val="Heading1"/>
        <w:keepLines w:val="false"/>
        <w:ind w:hanging="0" w:start="0"/>
        <w:rPr>
          <w:b/>
          <w:bCs/>
          <w:sz w:val="23"/>
        </w:rPr>
      </w:pPr>
      <w:r>
        <w:rPr>
          <w:b/>
          <w:bCs/>
          <w:sz w:val="23"/>
        </w:rPr>
      </w:r>
    </w:p>
    <w:p>
      <w:pPr>
        <w:pStyle w:val="Normal"/>
        <w:rPr>
          <w:b/>
          <w:bCs/>
          <w:sz w:val="23"/>
        </w:rPr>
      </w:pPr>
      <w:r>
        <w:rPr>
          <w:b/>
          <w:bCs/>
          <w:sz w:val="23"/>
        </w:rPr>
      </w:r>
    </w:p>
    <w:p>
      <w:pPr>
        <w:pStyle w:val="Normal"/>
        <w:rPr/>
      </w:pPr>
      <w:r>
        <w:rPr/>
      </w:r>
    </w:p>
    <w:p>
      <w:pPr>
        <w:pStyle w:val="Normal"/>
        <w:rPr/>
      </w:pPr>
      <w:r>
        <w:rPr/>
      </w:r>
    </w:p>
    <w:p>
      <w:pPr>
        <w:pStyle w:val="Normal"/>
        <w:rPr/>
      </w:pPr>
      <w:r>
        <w:rPr/>
      </w:r>
    </w:p>
    <w:p>
      <w:pPr>
        <w:pStyle w:val="Normal"/>
        <w:rPr/>
      </w:pPr>
      <w:r>
        <w:rPr/>
      </w:r>
    </w:p>
    <w:p>
      <w:pPr>
        <w:pStyle w:val="Heading1"/>
        <w:keepLines w:val="false"/>
        <w:ind w:hanging="0" w:start="0"/>
        <w:rPr>
          <w:i w:val="false"/>
          <w:i w:val="false"/>
          <w:iCs/>
          <w:sz w:val="23"/>
          <w:u w:val="none"/>
        </w:rPr>
      </w:pPr>
      <w:r>
        <w:rPr>
          <w:sz w:val="23"/>
        </w:rPr>
        <w:t>Citrus v. Duke New Smyrna Beach</w:t>
      </w:r>
    </w:p>
    <w:p>
      <w:pPr>
        <w:pStyle w:val="Normal"/>
        <w:rPr>
          <w:sz w:val="23"/>
        </w:rPr>
      </w:pPr>
      <w:r>
        <w:rPr>
          <w:sz w:val="23"/>
        </w:rPr>
        <w:t>(Self-Administered Arbitration) (Susman Godfrey/Steve Susman)</w:t>
      </w:r>
    </w:p>
    <w:p>
      <w:pPr>
        <w:pStyle w:val="Footer"/>
        <w:tabs>
          <w:tab w:val="clear" w:pos="4320"/>
          <w:tab w:val="clear" w:pos="8640"/>
          <w:tab w:val="left" w:pos="540" w:leader="none"/>
        </w:tabs>
        <w:rPr>
          <w:sz w:val="23"/>
        </w:rPr>
      </w:pPr>
      <w:r>
        <w:rPr>
          <w:sz w:val="23"/>
        </w:rPr>
      </w:r>
    </w:p>
    <w:p>
      <w:pPr>
        <w:pStyle w:val="BodyTextIndent2"/>
        <w:jc w:val="both"/>
        <w:rPr>
          <w:b w:val="false"/>
          <w:bCs w:val="false"/>
          <w:sz w:val="23"/>
        </w:rPr>
      </w:pPr>
      <w:r>
        <w:rPr>
          <w:b w:val="false"/>
          <w:bCs w:val="false"/>
          <w:sz w:val="23"/>
        </w:rPr>
        <w:tab/>
        <w:t>•</w:t>
        <w:tab/>
        <w:t>Citrus and Duke entered into a contract in January 1998 for the supply of gas to Duke’s proposed power projects in Florida.  A number of contractual disputes have arisen, and Duke has initiated arbitration proceedings.</w:t>
      </w:r>
    </w:p>
    <w:p>
      <w:pPr>
        <w:pStyle w:val="BodyTextIndent2"/>
        <w:jc w:val="both"/>
        <w:rPr>
          <w:b w:val="false"/>
          <w:bCs w:val="false"/>
          <w:sz w:val="23"/>
        </w:rPr>
      </w:pPr>
      <w:r>
        <w:rPr>
          <w:b w:val="false"/>
          <w:bCs w:val="false"/>
          <w:sz w:val="23"/>
        </w:rPr>
        <w:tab/>
        <w:t>•</w:t>
        <w:tab/>
        <w:t>Duke had planned to build a power plant in New Smyrna Beach by, at latest, June 2001.  The project has been delayed, but Duke is continuing to develop the project.  Duke contends Citrus should respect the contract’s original pricing terms.  Citrus, on the other hand, claims that the contract provides that the price should be changed to reflect changes in the “location, commencement or configuration “ of the New Smyrna Beach plant.</w:t>
      </w:r>
    </w:p>
    <w:p>
      <w:pPr>
        <w:pStyle w:val="BodyTextIndent2"/>
        <w:jc w:val="both"/>
        <w:rPr>
          <w:b w:val="false"/>
          <w:bCs w:val="false"/>
          <w:sz w:val="23"/>
        </w:rPr>
      </w:pPr>
      <w:r>
        <w:rPr>
          <w:b w:val="false"/>
          <w:bCs w:val="false"/>
          <w:sz w:val="23"/>
        </w:rPr>
        <w:tab/>
        <w:t>•</w:t>
        <w:tab/>
        <w:t>Duke is planning on building several peaker plants in Florida.  A key dispute is whether the peaker plants must purchase gas from Citrus under the contract.  If so, the arbitration panel is empowered to determine what the new contract price should be.</w:t>
      </w:r>
    </w:p>
    <w:p>
      <w:pPr>
        <w:pStyle w:val="Normal"/>
        <w:tabs>
          <w:tab w:val="clear" w:pos="540"/>
          <w:tab w:val="left" w:pos="720" w:leader="none"/>
          <w:tab w:val="left" w:pos="1080" w:leader="none"/>
        </w:tabs>
        <w:ind w:hanging="1080" w:start="1080" w:end="0"/>
        <w:jc w:val="both"/>
        <w:rPr>
          <w:sz w:val="23"/>
        </w:rPr>
      </w:pPr>
      <w:r>
        <w:rPr>
          <w:sz w:val="23"/>
        </w:rPr>
        <w:tab/>
        <w:t>•</w:t>
        <w:tab/>
        <w:t>Former United States District Judge John Singleton has been selected as Citrus’ party-arbitrator. Duke chose New Orleans lawyer John M. McCollan.  The neutral arbitrator has yet to be appointed.</w:t>
      </w:r>
    </w:p>
    <w:p>
      <w:pPr>
        <w:pStyle w:val="BodyText"/>
        <w:tabs>
          <w:tab w:val="clear" w:pos="540"/>
          <w:tab w:val="left" w:pos="720" w:leader="none"/>
          <w:tab w:val="left" w:pos="1080" w:leader="none"/>
        </w:tabs>
        <w:ind w:hanging="1080" w:start="1080" w:end="0"/>
        <w:rPr/>
      </w:pPr>
      <w:r>
        <w:rPr/>
        <w:tab/>
      </w:r>
      <w:r>
        <w:rPr>
          <w:b w:val="false"/>
          <w:bCs w:val="false"/>
        </w:rPr>
        <w:t>•</w:t>
      </w:r>
      <w:r>
        <w:rPr/>
        <w:tab/>
        <w:t>This matter has settled.  Both parties agreed to tear up the Citrus/Duke Contract.</w:t>
      </w:r>
    </w:p>
    <w:p>
      <w:pPr>
        <w:pStyle w:val="Heading1"/>
        <w:keepLines w:val="false"/>
        <w:ind w:hanging="0" w:start="0"/>
        <w:rPr>
          <w:sz w:val="23"/>
        </w:rPr>
      </w:pPr>
      <w:r>
        <w:rPr>
          <w:sz w:val="23"/>
        </w:rPr>
      </w:r>
    </w:p>
    <w:p>
      <w:pPr>
        <w:pStyle w:val="Heading1"/>
        <w:keepLines w:val="false"/>
        <w:ind w:hanging="0" w:start="0"/>
        <w:rPr>
          <w:sz w:val="23"/>
        </w:rPr>
      </w:pPr>
      <w:r>
        <w:rPr>
          <w:sz w:val="23"/>
        </w:rPr>
        <w:t>Columbia and Enron v. TDC Energy Corporation</w:t>
      </w:r>
    </w:p>
    <w:p>
      <w:pPr>
        <w:pStyle w:val="Normal"/>
        <w:jc w:val="both"/>
        <w:rPr>
          <w:sz w:val="23"/>
        </w:rPr>
      </w:pPr>
      <w:r>
        <w:rPr>
          <w:sz w:val="23"/>
        </w:rPr>
        <w:t>(Federal District Court New Orleans) (Robert L. Redfearn, Jr.)</w:t>
      </w:r>
    </w:p>
    <w:p>
      <w:pPr>
        <w:pStyle w:val="Normal"/>
        <w:jc w:val="both"/>
        <w:rPr>
          <w:sz w:val="23"/>
        </w:rPr>
      </w:pPr>
      <w:r>
        <w:rPr>
          <w:sz w:val="23"/>
        </w:rPr>
      </w:r>
    </w:p>
    <w:p>
      <w:pPr>
        <w:pStyle w:val="Normal"/>
        <w:numPr>
          <w:ilvl w:val="0"/>
          <w:numId w:val="4"/>
        </w:numPr>
        <w:jc w:val="both"/>
        <w:rPr>
          <w:sz w:val="23"/>
        </w:rPr>
      </w:pPr>
      <w:r>
        <w:rPr>
          <w:sz w:val="23"/>
        </w:rPr>
        <w:t>Enron and Columbia Energy Services Corp. (“Columbia”) have sued TDC Energy Corporation (“TDC”) for breach of a hedge contract.  Enron and Columbia seek approximately $4.5 million damages.</w:t>
      </w:r>
    </w:p>
    <w:p>
      <w:pPr>
        <w:pStyle w:val="Normal"/>
        <w:numPr>
          <w:ilvl w:val="0"/>
          <w:numId w:val="4"/>
        </w:numPr>
        <w:jc w:val="both"/>
        <w:rPr>
          <w:sz w:val="23"/>
        </w:rPr>
      </w:pPr>
      <w:r>
        <w:rPr>
          <w:sz w:val="23"/>
        </w:rPr>
        <w:t>The hedge contract was an oral agreement reached by TDC and Columbia.  Enron purchased the contract from Columbia beginning in January 2000.</w:t>
      </w:r>
    </w:p>
    <w:p>
      <w:pPr>
        <w:pStyle w:val="Normal"/>
        <w:numPr>
          <w:ilvl w:val="0"/>
          <w:numId w:val="4"/>
        </w:numPr>
        <w:jc w:val="both"/>
        <w:rPr>
          <w:sz w:val="23"/>
        </w:rPr>
      </w:pPr>
      <w:r>
        <w:rPr>
          <w:sz w:val="23"/>
        </w:rPr>
        <w:t>In the course of settlement negotiations, TDC has not disputed that the parties reached an oral agreement.  Rather, TDC’s defense is simply that the Statute of Frauds prevents enforcement of the oral agreement.</w:t>
      </w:r>
    </w:p>
    <w:p>
      <w:pPr>
        <w:pStyle w:val="Normal"/>
        <w:numPr>
          <w:ilvl w:val="0"/>
          <w:numId w:val="4"/>
        </w:numPr>
        <w:jc w:val="both"/>
        <w:rPr>
          <w:sz w:val="23"/>
        </w:rPr>
      </w:pPr>
      <w:r>
        <w:rPr>
          <w:sz w:val="23"/>
        </w:rPr>
        <w:t>TDC has requested that the case be dismissed, arguing that the Gas Industry Standards Board contract already in effect between the parties contains a forum selection clause choosing Harris County as the exclusive forum.</w:t>
      </w:r>
    </w:p>
    <w:p>
      <w:pPr>
        <w:pStyle w:val="Normal"/>
        <w:numPr>
          <w:ilvl w:val="0"/>
          <w:numId w:val="4"/>
        </w:numPr>
        <w:jc w:val="both"/>
        <w:rPr>
          <w:sz w:val="23"/>
        </w:rPr>
      </w:pPr>
      <w:r>
        <w:rPr>
          <w:sz w:val="23"/>
        </w:rPr>
        <w:t>In the event a judge or jury determines that the hedge contract is not a legally enforceable obligation, Enron has reserved the right to seek contractual indemnification from Columbia.</w:t>
      </w:r>
    </w:p>
    <w:p>
      <w:pPr>
        <w:pStyle w:val="Normal"/>
        <w:jc w:val="both"/>
        <w:rPr>
          <w:bCs/>
          <w:i/>
          <w:i/>
          <w:sz w:val="23"/>
          <w:u w:val="single"/>
        </w:rPr>
      </w:pPr>
      <w:r>
        <w:rPr>
          <w:bCs/>
          <w:i/>
          <w:sz w:val="23"/>
          <w:u w:val="single"/>
        </w:rPr>
      </w:r>
    </w:p>
    <w:p>
      <w:pPr>
        <w:pStyle w:val="Normal"/>
        <w:jc w:val="both"/>
        <w:rPr>
          <w:bCs/>
          <w:i/>
          <w:i/>
          <w:sz w:val="23"/>
          <w:u w:val="single"/>
        </w:rPr>
      </w:pPr>
      <w:r>
        <w:rPr>
          <w:bCs/>
          <w:i/>
          <w:sz w:val="23"/>
          <w:u w:val="single"/>
        </w:rPr>
        <w:t>Dennis McKenna v. ECT</w:t>
      </w:r>
    </w:p>
    <w:p>
      <w:pPr>
        <w:pStyle w:val="Normal"/>
        <w:jc w:val="both"/>
        <w:rPr>
          <w:bCs/>
          <w:sz w:val="23"/>
        </w:rPr>
      </w:pPr>
      <w:r>
        <w:rPr>
          <w:bCs/>
          <w:sz w:val="23"/>
        </w:rPr>
        <w:t>(AAA Arbitration in Harris County) (</w:t>
      </w:r>
      <w:r>
        <w:rPr>
          <w:rFonts w:cs="Arial"/>
          <w:bCs/>
          <w:color w:val="000000"/>
          <w:sz w:val="23"/>
          <w:szCs w:val="18"/>
          <w:lang w:val="en-US"/>
        </w:rPr>
        <w:t>Bracewell &amp; Patterson/Cliff Gunter and Ileana Blanco)</w:t>
      </w:r>
    </w:p>
    <w:p>
      <w:pPr>
        <w:pStyle w:val="Normal"/>
        <w:tabs>
          <w:tab w:val="clear" w:pos="540"/>
        </w:tabs>
        <w:jc w:val="both"/>
        <w:rPr>
          <w:bCs/>
          <w:sz w:val="23"/>
        </w:rPr>
      </w:pPr>
      <w:r>
        <w:rPr>
          <w:bCs/>
          <w:sz w:val="23"/>
        </w:rPr>
      </w:r>
    </w:p>
    <w:p>
      <w:pPr>
        <w:pStyle w:val="Normal"/>
        <w:numPr>
          <w:ilvl w:val="0"/>
          <w:numId w:val="3"/>
        </w:numPr>
        <w:tabs>
          <w:tab w:val="clear" w:pos="540"/>
          <w:tab w:val="left" w:pos="1080" w:leader="none"/>
        </w:tabs>
        <w:ind w:hanging="360" w:start="1080" w:end="0"/>
        <w:jc w:val="both"/>
        <w:rPr>
          <w:bCs/>
          <w:sz w:val="23"/>
        </w:rPr>
      </w:pPr>
      <w:r>
        <w:rPr>
          <w:bCs/>
          <w:sz w:val="23"/>
        </w:rPr>
        <w:t>ECT entered into a Consulting Agreement with McKenna in 1997 in which McKenna was to provide consulting services in connection with a proposed power plant in Mexico.  The contract called for McKenna to earn a success fee of $1.5 million.</w:t>
      </w:r>
    </w:p>
    <w:p>
      <w:pPr>
        <w:pStyle w:val="Normal"/>
        <w:numPr>
          <w:ilvl w:val="0"/>
          <w:numId w:val="3"/>
        </w:numPr>
        <w:tabs>
          <w:tab w:val="clear" w:pos="540"/>
          <w:tab w:val="left" w:pos="1080" w:leader="none"/>
        </w:tabs>
        <w:ind w:hanging="360" w:start="1080" w:end="0"/>
        <w:jc w:val="both"/>
        <w:rPr>
          <w:bCs/>
          <w:sz w:val="23"/>
        </w:rPr>
      </w:pPr>
      <w:r>
        <w:rPr>
          <w:bCs/>
          <w:sz w:val="23"/>
        </w:rPr>
        <w:t>ECT and McKenna parted ways in 1998.  When McKenna heard about the Vitro project, he requested that ECT pay him the success fee.  ECT refused and McKenna has filed for arbitration</w:t>
      </w:r>
    </w:p>
    <w:p>
      <w:pPr>
        <w:pStyle w:val="Normal"/>
        <w:numPr>
          <w:ilvl w:val="0"/>
          <w:numId w:val="3"/>
        </w:numPr>
        <w:tabs>
          <w:tab w:val="clear" w:pos="540"/>
          <w:tab w:val="left" w:pos="1080" w:leader="none"/>
        </w:tabs>
        <w:ind w:hanging="360" w:start="1080" w:end="0"/>
        <w:jc w:val="both"/>
        <w:rPr>
          <w:bCs/>
          <w:sz w:val="23"/>
        </w:rPr>
      </w:pPr>
      <w:r>
        <w:rPr>
          <w:bCs/>
          <w:sz w:val="23"/>
        </w:rPr>
        <w:t>ECT has named Tom McDade as its party designate arbitrator.  The neutral arbitrator is Finus Cowen.</w:t>
      </w:r>
    </w:p>
    <w:p>
      <w:pPr>
        <w:pStyle w:val="Normal"/>
        <w:numPr>
          <w:ilvl w:val="0"/>
          <w:numId w:val="3"/>
        </w:numPr>
        <w:tabs>
          <w:tab w:val="clear" w:pos="540"/>
          <w:tab w:val="left" w:pos="1080" w:leader="none"/>
        </w:tabs>
        <w:ind w:hanging="360" w:start="1080" w:end="0"/>
        <w:jc w:val="both"/>
        <w:rPr>
          <w:bCs/>
          <w:sz w:val="23"/>
        </w:rPr>
      </w:pPr>
      <w:r>
        <w:rPr>
          <w:bCs/>
          <w:sz w:val="23"/>
        </w:rPr>
        <w:t>The arbitration is scheduled for August 20, 2001.</w:t>
      </w:r>
    </w:p>
    <w:p>
      <w:pPr>
        <w:pStyle w:val="Normal"/>
        <w:jc w:val="both"/>
        <w:rPr>
          <w:i/>
          <w:i/>
          <w:sz w:val="23"/>
          <w:u w:val="single"/>
        </w:rPr>
      </w:pPr>
      <w:r>
        <w:rPr>
          <w:i/>
          <w:sz w:val="23"/>
          <w:u w:val="single"/>
        </w:rPr>
        <w:t>Dow Waiver Litigation</w:t>
      </w:r>
    </w:p>
    <w:p>
      <w:pPr>
        <w:pStyle w:val="Normal"/>
        <w:jc w:val="both"/>
        <w:rPr>
          <w:sz w:val="23"/>
        </w:rPr>
      </w:pPr>
      <w:r>
        <w:rPr>
          <w:sz w:val="23"/>
        </w:rPr>
        <w:t>(Harris County State District Court) (Susman Godfrey/Bracewell &amp; Patterson/Vinson &amp; Elkins)</w:t>
      </w:r>
    </w:p>
    <w:p>
      <w:pPr>
        <w:pStyle w:val="Normal"/>
        <w:jc w:val="both"/>
        <w:rPr>
          <w:sz w:val="23"/>
        </w:rPr>
      </w:pPr>
      <w:r>
        <w:rPr>
          <w:sz w:val="23"/>
        </w:rPr>
      </w:r>
    </w:p>
    <w:p>
      <w:pPr>
        <w:pStyle w:val="Normal"/>
        <w:numPr>
          <w:ilvl w:val="0"/>
          <w:numId w:val="5"/>
        </w:numPr>
        <w:jc w:val="both"/>
        <w:rPr>
          <w:sz w:val="23"/>
        </w:rPr>
      </w:pPr>
      <w:r>
        <w:rPr>
          <w:sz w:val="23"/>
        </w:rPr>
        <w:t>Plaintiffs have filed a class action alleging that Houston Pipeline failed to take ratably from gas wells in West Texas.</w:t>
      </w:r>
    </w:p>
    <w:p>
      <w:pPr>
        <w:pStyle w:val="Normal"/>
        <w:numPr>
          <w:ilvl w:val="0"/>
          <w:numId w:val="5"/>
        </w:numPr>
        <w:jc w:val="both"/>
        <w:rPr>
          <w:sz w:val="23"/>
        </w:rPr>
      </w:pPr>
      <w:r>
        <w:rPr>
          <w:sz w:val="23"/>
        </w:rPr>
        <w:t>Plaintiffs allege $466 million in damages</w:t>
      </w:r>
    </w:p>
    <w:p>
      <w:pPr>
        <w:pStyle w:val="Normal"/>
        <w:numPr>
          <w:ilvl w:val="0"/>
          <w:numId w:val="5"/>
        </w:numPr>
        <w:jc w:val="both"/>
        <w:rPr>
          <w:sz w:val="23"/>
        </w:rPr>
      </w:pPr>
      <w:r>
        <w:rPr>
          <w:sz w:val="23"/>
        </w:rPr>
        <w:t>Our preliminary damage model indicates damages of $60 - $160 million if Plaintiffs recover on their claim.</w:t>
      </w:r>
    </w:p>
    <w:p>
      <w:pPr>
        <w:pStyle w:val="Normal"/>
        <w:numPr>
          <w:ilvl w:val="0"/>
          <w:numId w:val="5"/>
        </w:numPr>
        <w:jc w:val="both"/>
        <w:rPr>
          <w:sz w:val="23"/>
        </w:rPr>
      </w:pPr>
      <w:r>
        <w:rPr>
          <w:sz w:val="23"/>
        </w:rPr>
        <w:t>On March 10, 2000 the Texas Supreme Court reversed the Court of Appeals decision in favor of the plaintiffs. The Texas Supreme Court found that the trial court’s certification of the plaintiff’s class action was improper and remanded the case back to the trial court.</w:t>
      </w:r>
    </w:p>
    <w:p>
      <w:pPr>
        <w:pStyle w:val="Normal"/>
        <w:numPr>
          <w:ilvl w:val="0"/>
          <w:numId w:val="5"/>
        </w:numPr>
        <w:jc w:val="both"/>
        <w:rPr>
          <w:sz w:val="23"/>
        </w:rPr>
      </w:pPr>
      <w:r>
        <w:rPr>
          <w:sz w:val="23"/>
        </w:rPr>
        <w:t>The trial is expected within 12-24 months.</w:t>
      </w:r>
    </w:p>
    <w:p>
      <w:pPr>
        <w:pStyle w:val="Normal"/>
        <w:numPr>
          <w:ilvl w:val="0"/>
          <w:numId w:val="5"/>
        </w:numPr>
        <w:jc w:val="both"/>
        <w:rPr>
          <w:sz w:val="23"/>
        </w:rPr>
      </w:pPr>
      <w:r>
        <w:rPr>
          <w:sz w:val="23"/>
        </w:rPr>
        <w:t>On August 24, 2000 the trial court issued a preliminary ruling that the new class requested by the Plaintiffs could not be certified.  The court also granted Enron’s motion for summary judgement on the Plaintiff’s Dow Waiver claim.  The court denied Enron’s motion for summary judgment on the statute of limitations defense.</w:t>
      </w:r>
    </w:p>
    <w:p>
      <w:pPr>
        <w:pStyle w:val="Normal"/>
        <w:numPr>
          <w:ilvl w:val="0"/>
          <w:numId w:val="5"/>
        </w:numPr>
        <w:jc w:val="both"/>
        <w:rPr>
          <w:sz w:val="23"/>
        </w:rPr>
      </w:pPr>
      <w:r>
        <w:rPr>
          <w:sz w:val="23"/>
        </w:rPr>
        <w:t>The Plaintiffs filed a motion for a rehearing of the trial court’s rulings.  On January 18</w:t>
      </w:r>
      <w:r>
        <w:rPr>
          <w:sz w:val="23"/>
          <w:vertAlign w:val="superscript"/>
        </w:rPr>
        <w:t>th</w:t>
      </w:r>
      <w:r>
        <w:rPr>
          <w:sz w:val="23"/>
        </w:rPr>
        <w:t>, the Court denied the motion for rehearing.  Plaintiffs have indicated they will appeal.</w:t>
      </w:r>
    </w:p>
    <w:p>
      <w:pPr>
        <w:pStyle w:val="Normal"/>
        <w:jc w:val="both"/>
        <w:rPr>
          <w:i/>
          <w:i/>
          <w:sz w:val="23"/>
          <w:u w:val="single"/>
        </w:rPr>
      </w:pPr>
      <w:r>
        <w:rPr>
          <w:i/>
          <w:sz w:val="23"/>
          <w:u w:val="single"/>
        </w:rPr>
      </w:r>
    </w:p>
    <w:p>
      <w:pPr>
        <w:pStyle w:val="Heading1"/>
        <w:keepLines w:val="false"/>
        <w:ind w:hanging="0" w:start="0"/>
        <w:rPr>
          <w:sz w:val="23"/>
        </w:rPr>
      </w:pPr>
      <w:r>
        <w:rPr>
          <w:sz w:val="23"/>
        </w:rPr>
        <w:t>Enron v. Antarra Resources</w:t>
      </w:r>
    </w:p>
    <w:p>
      <w:pPr>
        <w:pStyle w:val="Normal"/>
        <w:jc w:val="both"/>
        <w:rPr>
          <w:sz w:val="23"/>
        </w:rPr>
      </w:pPr>
      <w:r>
        <w:rPr>
          <w:sz w:val="23"/>
        </w:rPr>
        <w:t xml:space="preserve">(Harris County State District Court) (Buck, Keenan &amp; Gage/Jim Keenan) </w:t>
      </w:r>
    </w:p>
    <w:p>
      <w:pPr>
        <w:pStyle w:val="Normal"/>
        <w:ind w:start="720" w:end="0"/>
        <w:jc w:val="both"/>
        <w:rPr>
          <w:sz w:val="23"/>
        </w:rPr>
      </w:pPr>
      <w:r>
        <w:rPr>
          <w:sz w:val="23"/>
        </w:rPr>
      </w:r>
    </w:p>
    <w:p>
      <w:pPr>
        <w:pStyle w:val="Normal"/>
        <w:numPr>
          <w:ilvl w:val="0"/>
          <w:numId w:val="4"/>
        </w:numPr>
        <w:jc w:val="both"/>
        <w:rPr>
          <w:sz w:val="23"/>
        </w:rPr>
      </w:pPr>
      <w:r>
        <w:rPr>
          <w:sz w:val="23"/>
        </w:rPr>
        <w:t>Badack Resources, a subsidiary of Antarra, defaulted on a gas sales agreement with ENA.</w:t>
      </w:r>
    </w:p>
    <w:p>
      <w:pPr>
        <w:pStyle w:val="Normal"/>
        <w:numPr>
          <w:ilvl w:val="0"/>
          <w:numId w:val="4"/>
        </w:numPr>
        <w:jc w:val="both"/>
        <w:rPr>
          <w:sz w:val="23"/>
        </w:rPr>
      </w:pPr>
      <w:r>
        <w:rPr>
          <w:sz w:val="23"/>
        </w:rPr>
        <w:t>ENA’s damages are approximately $8.4 million.</w:t>
      </w:r>
    </w:p>
    <w:p>
      <w:pPr>
        <w:pStyle w:val="Normal"/>
        <w:numPr>
          <w:ilvl w:val="0"/>
          <w:numId w:val="4"/>
        </w:numPr>
        <w:jc w:val="both"/>
        <w:rPr>
          <w:sz w:val="23"/>
        </w:rPr>
      </w:pPr>
      <w:r>
        <w:rPr>
          <w:sz w:val="23"/>
        </w:rPr>
        <w:t>Antarra was sued under a corporate guaranty.</w:t>
      </w:r>
    </w:p>
    <w:p>
      <w:pPr>
        <w:pStyle w:val="Normal"/>
        <w:numPr>
          <w:ilvl w:val="0"/>
          <w:numId w:val="4"/>
        </w:numPr>
        <w:jc w:val="both"/>
        <w:rPr>
          <w:sz w:val="23"/>
        </w:rPr>
      </w:pPr>
      <w:r>
        <w:rPr>
          <w:sz w:val="23"/>
        </w:rPr>
        <w:t>ENA filed a motion for summary judgment on the issue of liability under the gas sales contract.  On December 12, 2000, the Court granted Enron’s motion.</w:t>
      </w:r>
    </w:p>
    <w:p>
      <w:pPr>
        <w:pStyle w:val="Normal"/>
        <w:numPr>
          <w:ilvl w:val="0"/>
          <w:numId w:val="4"/>
        </w:numPr>
        <w:jc w:val="both"/>
        <w:rPr>
          <w:sz w:val="23"/>
        </w:rPr>
      </w:pPr>
      <w:r>
        <w:rPr>
          <w:sz w:val="23"/>
        </w:rPr>
        <w:t>Discovery is proceeding on the issue of damages.</w:t>
      </w:r>
    </w:p>
    <w:p>
      <w:pPr>
        <w:pStyle w:val="Normal"/>
        <w:numPr>
          <w:ilvl w:val="0"/>
          <w:numId w:val="4"/>
        </w:numPr>
        <w:jc w:val="both"/>
        <w:rPr>
          <w:sz w:val="23"/>
        </w:rPr>
      </w:pPr>
      <w:r>
        <w:rPr>
          <w:sz w:val="23"/>
        </w:rPr>
        <w:t>Plaintiffs have filed a counterclaim alleging breach of a confidentiality agreement and fraud.</w:t>
      </w:r>
    </w:p>
    <w:p>
      <w:pPr>
        <w:pStyle w:val="Normal"/>
        <w:rPr>
          <w:sz w:val="23"/>
        </w:rPr>
      </w:pPr>
      <w:r>
        <w:rPr>
          <w:sz w:val="23"/>
        </w:rPr>
      </w:r>
    </w:p>
    <w:p>
      <w:pPr>
        <w:pStyle w:val="Heading1"/>
        <w:keepLines w:val="false"/>
        <w:numPr>
          <w:ilvl w:val="0"/>
          <w:numId w:val="0"/>
        </w:numPr>
        <w:ind w:hanging="0" w:start="0"/>
        <w:rPr>
          <w:sz w:val="23"/>
        </w:rPr>
      </w:pPr>
      <w:r>
        <w:rPr>
          <w:sz w:val="23"/>
        </w:rPr>
        <w:t>Enron Economic Development Corp. v. Intrust</w:t>
      </w:r>
    </w:p>
    <w:p>
      <w:pPr>
        <w:pStyle w:val="Normal"/>
        <w:numPr>
          <w:ilvl w:val="0"/>
          <w:numId w:val="0"/>
        </w:numPr>
        <w:ind w:hanging="0" w:start="0"/>
        <w:jc w:val="both"/>
        <w:rPr>
          <w:sz w:val="23"/>
        </w:rPr>
      </w:pPr>
      <w:r>
        <w:rPr>
          <w:sz w:val="23"/>
        </w:rPr>
        <w:t>(Harris County State District Court – Gibbs &amp; Bruns/Jean Frizzell)</w:t>
      </w:r>
    </w:p>
    <w:p>
      <w:pPr>
        <w:pStyle w:val="Normal"/>
        <w:numPr>
          <w:ilvl w:val="0"/>
          <w:numId w:val="0"/>
        </w:numPr>
        <w:ind w:hanging="0" w:start="0"/>
        <w:jc w:val="both"/>
        <w:rPr>
          <w:sz w:val="23"/>
        </w:rPr>
      </w:pPr>
      <w:r>
        <w:rPr>
          <w:sz w:val="23"/>
        </w:rPr>
      </w:r>
    </w:p>
    <w:p>
      <w:pPr>
        <w:pStyle w:val="Normal"/>
        <w:numPr>
          <w:ilvl w:val="0"/>
          <w:numId w:val="5"/>
        </w:numPr>
        <w:jc w:val="both"/>
        <w:rPr>
          <w:sz w:val="23"/>
        </w:rPr>
      </w:pPr>
      <w:r>
        <w:rPr>
          <w:sz w:val="23"/>
        </w:rPr>
        <w:t>Intrust has sued EEDC, Houston Economic Opportunity Fund (“HEOF”), ECT, Enron Corp., Mark Lay, and Gene Humphrey alleging breach of fiduciary duty, fraud, breach of contract, and defamation after Intrust was terminated as co-general partner of HEOF.</w:t>
      </w:r>
    </w:p>
    <w:p>
      <w:pPr>
        <w:pStyle w:val="Normal"/>
        <w:numPr>
          <w:ilvl w:val="0"/>
          <w:numId w:val="5"/>
        </w:numPr>
        <w:jc w:val="both"/>
        <w:rPr>
          <w:sz w:val="23"/>
        </w:rPr>
      </w:pPr>
      <w:r>
        <w:rPr>
          <w:sz w:val="23"/>
        </w:rPr>
        <w:t>The trial court stayed all discovery pending the appraisal process outlined in the partnership agreement.  The appraisal process is now completed and Intrust partnership interest has been valued at approximately $35,000.00.</w:t>
      </w:r>
    </w:p>
    <w:p>
      <w:pPr>
        <w:pStyle w:val="Normal"/>
        <w:numPr>
          <w:ilvl w:val="0"/>
          <w:numId w:val="5"/>
        </w:numPr>
        <w:jc w:val="both"/>
        <w:rPr>
          <w:sz w:val="23"/>
        </w:rPr>
      </w:pPr>
      <w:r>
        <w:rPr>
          <w:sz w:val="23"/>
        </w:rPr>
        <w:t>Discovery is proceeding.</w:t>
      </w:r>
    </w:p>
    <w:p>
      <w:pPr>
        <w:pStyle w:val="Normal"/>
        <w:numPr>
          <w:ilvl w:val="0"/>
          <w:numId w:val="5"/>
        </w:numPr>
        <w:jc w:val="both"/>
        <w:rPr>
          <w:sz w:val="23"/>
        </w:rPr>
      </w:pPr>
      <w:r>
        <w:rPr>
          <w:sz w:val="23"/>
        </w:rPr>
        <w:t>Notwithstanding the appraisal, Intrust alleges damages of over $1 million.</w:t>
      </w:r>
    </w:p>
    <w:p>
      <w:pPr>
        <w:pStyle w:val="Normal"/>
        <w:numPr>
          <w:ilvl w:val="0"/>
          <w:numId w:val="5"/>
        </w:numPr>
        <w:jc w:val="both"/>
        <w:rPr>
          <w:sz w:val="23"/>
        </w:rPr>
      </w:pPr>
      <w:r>
        <w:rPr>
          <w:sz w:val="23"/>
        </w:rPr>
        <w:t>Trial is scheduled for July 16, 2001.</w:t>
      </w:r>
    </w:p>
    <w:p>
      <w:pPr>
        <w:pStyle w:val="Heading1"/>
        <w:keepLines w:val="false"/>
        <w:numPr>
          <w:ilvl w:val="0"/>
          <w:numId w:val="0"/>
        </w:numPr>
        <w:ind w:hanging="0" w:start="0"/>
        <w:rPr>
          <w:sz w:val="23"/>
        </w:rPr>
      </w:pPr>
      <w:r>
        <w:rPr>
          <w:sz w:val="23"/>
        </w:rPr>
      </w:r>
    </w:p>
    <w:p>
      <w:pPr>
        <w:pStyle w:val="Heading1"/>
        <w:keepLines w:val="false"/>
        <w:numPr>
          <w:ilvl w:val="0"/>
          <w:numId w:val="0"/>
        </w:numPr>
        <w:ind w:hanging="0" w:start="0"/>
        <w:rPr>
          <w:sz w:val="23"/>
        </w:rPr>
      </w:pPr>
      <w:r>
        <w:rPr>
          <w:sz w:val="23"/>
        </w:rPr>
        <w:t>Enron Power Marketing, Inc. v. California Power Exchange</w:t>
      </w:r>
    </w:p>
    <w:p>
      <w:pPr>
        <w:pStyle w:val="Normal"/>
        <w:numPr>
          <w:ilvl w:val="0"/>
          <w:numId w:val="0"/>
        </w:numPr>
        <w:ind w:hanging="0" w:start="0"/>
        <w:jc w:val="both"/>
        <w:rPr>
          <w:sz w:val="23"/>
        </w:rPr>
      </w:pPr>
      <w:r>
        <w:rPr>
          <w:sz w:val="23"/>
        </w:rPr>
        <w:t>(Los Angeles Federal District Court – Quinn Emanuel) (Federal Energy Regulatory Commission – Bracewell &amp; Patterson)</w:t>
      </w:r>
    </w:p>
    <w:p>
      <w:pPr>
        <w:pStyle w:val="Normal"/>
        <w:numPr>
          <w:ilvl w:val="0"/>
          <w:numId w:val="0"/>
        </w:numPr>
        <w:ind w:hanging="0" w:start="0"/>
        <w:jc w:val="both"/>
        <w:rPr>
          <w:i/>
          <w:i/>
          <w:sz w:val="23"/>
          <w:u w:val="single"/>
        </w:rPr>
      </w:pPr>
      <w:r>
        <w:rPr>
          <w:i/>
          <w:sz w:val="23"/>
          <w:u w:val="single"/>
        </w:rPr>
      </w:r>
    </w:p>
    <w:p>
      <w:pPr>
        <w:pStyle w:val="Normal"/>
        <w:numPr>
          <w:ilvl w:val="0"/>
          <w:numId w:val="5"/>
        </w:numPr>
        <w:jc w:val="both"/>
        <w:rPr>
          <w:sz w:val="23"/>
        </w:rPr>
      </w:pPr>
      <w:r>
        <w:rPr>
          <w:sz w:val="23"/>
        </w:rPr>
        <w:t>On January 31, 2001, the CalPx drew down on $36.5 million of EPMI’s collateral as a result of EMPI’s alleged breach of the CalPx tariff.</w:t>
      </w:r>
    </w:p>
    <w:p>
      <w:pPr>
        <w:pStyle w:val="Normal"/>
        <w:numPr>
          <w:ilvl w:val="0"/>
          <w:numId w:val="5"/>
        </w:numPr>
        <w:jc w:val="both"/>
        <w:rPr>
          <w:sz w:val="23"/>
        </w:rPr>
      </w:pPr>
      <w:r>
        <w:rPr>
          <w:sz w:val="23"/>
        </w:rPr>
        <w:t>CalPx also threatened to draw down on an additional $110 million of EPMI’s collateral if EPMI did not pay its proportional share of the “charge backs” resulting from SCE and PG&amp;E defaults in the ISO Market.</w:t>
      </w:r>
    </w:p>
    <w:p>
      <w:pPr>
        <w:pStyle w:val="Normal"/>
        <w:numPr>
          <w:ilvl w:val="0"/>
          <w:numId w:val="5"/>
        </w:numPr>
        <w:jc w:val="both"/>
        <w:rPr>
          <w:sz w:val="23"/>
        </w:rPr>
      </w:pPr>
      <w:r>
        <w:rPr>
          <w:sz w:val="23"/>
        </w:rPr>
        <w:t>EPMI filed suit in Los Angeles Federal District Court requesting that the Court: (1) grant a temporary injunction placing the $36.5 million in escrow pending resolution of the CalPx breach of tariff claim, and (2) enjoin any assessment of “charge backs” until the issue can be resolved at FERC.</w:t>
      </w:r>
    </w:p>
    <w:p>
      <w:pPr>
        <w:pStyle w:val="Normal"/>
        <w:numPr>
          <w:ilvl w:val="0"/>
          <w:numId w:val="5"/>
        </w:numPr>
        <w:jc w:val="both"/>
        <w:rPr>
          <w:sz w:val="23"/>
        </w:rPr>
      </w:pPr>
      <w:r>
        <w:rPr>
          <w:sz w:val="23"/>
        </w:rPr>
        <w:t>On February 9, 2001, the District Court granted EPMI’s request for a temporary restraining order.  EPMI and CalPx have now entered into an stipulated injunction granting all of EPMI’s requested relief.</w:t>
      </w:r>
    </w:p>
    <w:p>
      <w:pPr>
        <w:pStyle w:val="Normal"/>
        <w:numPr>
          <w:ilvl w:val="0"/>
          <w:numId w:val="5"/>
        </w:numPr>
        <w:jc w:val="both"/>
        <w:rPr>
          <w:sz w:val="23"/>
        </w:rPr>
      </w:pPr>
      <w:r>
        <w:rPr>
          <w:sz w:val="23"/>
        </w:rPr>
        <w:t>EMPI also filed a FERC action requesting that FERC interpret the CalPx charge back provisions of the CalPx tariff.</w:t>
      </w:r>
    </w:p>
    <w:p>
      <w:pPr>
        <w:pStyle w:val="Normal"/>
        <w:numPr>
          <w:ilvl w:val="0"/>
          <w:numId w:val="5"/>
        </w:numPr>
        <w:jc w:val="both"/>
        <w:rPr>
          <w:sz w:val="23"/>
        </w:rPr>
      </w:pPr>
      <w:r>
        <w:rPr>
          <w:b/>
          <w:bCs/>
          <w:sz w:val="23"/>
        </w:rPr>
        <w:t>FERC issued a ruling that the PX charge back methodology was unjust and unreasonable.  We are applying to the District Court for a return of our collateral.</w:t>
      </w:r>
    </w:p>
    <w:p>
      <w:pPr>
        <w:pStyle w:val="Normal"/>
        <w:ind w:start="720" w:end="0"/>
        <w:jc w:val="both"/>
        <w:rPr>
          <w:sz w:val="23"/>
        </w:rPr>
      </w:pPr>
      <w:r>
        <w:rPr>
          <w:sz w:val="23"/>
        </w:rPr>
      </w:r>
    </w:p>
    <w:p>
      <w:pPr>
        <w:pStyle w:val="Heading1"/>
        <w:keepLines w:val="false"/>
        <w:ind w:hanging="0" w:start="0"/>
        <w:rPr>
          <w:sz w:val="23"/>
        </w:rPr>
      </w:pPr>
      <w:r>
        <w:rPr>
          <w:sz w:val="23"/>
        </w:rPr>
        <w:t>Enron Power Marketing v. Calpine Corp.</w:t>
      </w:r>
    </w:p>
    <w:p>
      <w:pPr>
        <w:pStyle w:val="Normal"/>
        <w:jc w:val="both"/>
        <w:rPr>
          <w:sz w:val="23"/>
        </w:rPr>
      </w:pPr>
      <w:r>
        <w:rPr>
          <w:sz w:val="23"/>
        </w:rPr>
        <w:t>(Houston Federal District Court) (Bill Ogden)</w:t>
      </w:r>
    </w:p>
    <w:p>
      <w:pPr>
        <w:pStyle w:val="Normal"/>
        <w:jc w:val="both"/>
        <w:rPr>
          <w:sz w:val="23"/>
        </w:rPr>
      </w:pPr>
      <w:r>
        <w:rPr>
          <w:sz w:val="23"/>
        </w:rPr>
      </w:r>
    </w:p>
    <w:p>
      <w:pPr>
        <w:pStyle w:val="Normal"/>
        <w:numPr>
          <w:ilvl w:val="0"/>
          <w:numId w:val="4"/>
        </w:numPr>
        <w:jc w:val="both"/>
        <w:rPr>
          <w:sz w:val="23"/>
        </w:rPr>
      </w:pPr>
      <w:r>
        <w:rPr>
          <w:sz w:val="23"/>
        </w:rPr>
        <w:t>EPMI filed a lawsuit against Calpine alleging that Calpine breached its contract with EPMI to assume certain power contracts EPMI had with the Lower Colorado River Authority.</w:t>
      </w:r>
    </w:p>
    <w:p>
      <w:pPr>
        <w:pStyle w:val="Normal"/>
        <w:numPr>
          <w:ilvl w:val="0"/>
          <w:numId w:val="4"/>
        </w:numPr>
        <w:jc w:val="both"/>
        <w:rPr>
          <w:sz w:val="23"/>
        </w:rPr>
      </w:pPr>
      <w:r>
        <w:rPr>
          <w:sz w:val="23"/>
        </w:rPr>
        <w:t>EPMI's damages will depend on the cost of covering Calpine's position.  The damages are estimated to be $2.4-7.2 million.</w:t>
      </w:r>
    </w:p>
    <w:p>
      <w:pPr>
        <w:pStyle w:val="Normal"/>
        <w:numPr>
          <w:ilvl w:val="0"/>
          <w:numId w:val="4"/>
        </w:numPr>
        <w:jc w:val="both"/>
        <w:rPr>
          <w:sz w:val="23"/>
        </w:rPr>
      </w:pPr>
      <w:r>
        <w:rPr>
          <w:sz w:val="23"/>
        </w:rPr>
        <w:t>On March 6, 2000, Calpine filed an answer and removed this case to Federal Court.</w:t>
      </w:r>
    </w:p>
    <w:p>
      <w:pPr>
        <w:pStyle w:val="Normal"/>
        <w:numPr>
          <w:ilvl w:val="0"/>
          <w:numId w:val="4"/>
        </w:numPr>
        <w:jc w:val="both"/>
        <w:rPr>
          <w:bCs/>
          <w:sz w:val="23"/>
        </w:rPr>
      </w:pPr>
      <w:r>
        <w:rPr>
          <w:bCs/>
          <w:sz w:val="23"/>
        </w:rPr>
        <w:t>Discovery is proceeding.</w:t>
      </w:r>
    </w:p>
    <w:p>
      <w:pPr>
        <w:pStyle w:val="Normal"/>
        <w:numPr>
          <w:ilvl w:val="0"/>
          <w:numId w:val="4"/>
        </w:numPr>
        <w:jc w:val="both"/>
        <w:rPr>
          <w:bCs/>
          <w:sz w:val="23"/>
        </w:rPr>
      </w:pPr>
      <w:r>
        <w:rPr>
          <w:bCs/>
          <w:sz w:val="23"/>
        </w:rPr>
        <w:t>Trial is set for July/August 2001.</w:t>
      </w:r>
    </w:p>
    <w:p>
      <w:pPr>
        <w:pStyle w:val="Normal"/>
        <w:jc w:val="both"/>
        <w:rPr>
          <w:bCs/>
          <w:i/>
          <w:i/>
          <w:sz w:val="23"/>
          <w:u w:val="single"/>
        </w:rPr>
      </w:pPr>
      <w:r>
        <w:rPr>
          <w:bCs/>
          <w:i/>
          <w:sz w:val="23"/>
          <w:u w:val="single"/>
        </w:rPr>
      </w:r>
    </w:p>
    <w:p>
      <w:pPr>
        <w:pStyle w:val="Normal"/>
        <w:jc w:val="both"/>
        <w:rPr>
          <w:sz w:val="23"/>
        </w:rPr>
      </w:pPr>
      <w:r>
        <w:rPr>
          <w:i/>
          <w:sz w:val="23"/>
          <w:u w:val="single"/>
        </w:rPr>
        <w:t>EnSerCo, L.L.C.v. Drilling Rig Noram 253 and SAM Offshore, Ltd.</w:t>
      </w:r>
    </w:p>
    <w:p>
      <w:pPr>
        <w:pStyle w:val="Normal"/>
        <w:jc w:val="both"/>
        <w:rPr>
          <w:sz w:val="23"/>
        </w:rPr>
      </w:pPr>
      <w:r>
        <w:rPr>
          <w:sz w:val="23"/>
        </w:rPr>
        <w:t>(Southern District, Galveston Division) (Gardere Wynne Sewell &amp; Riggs)</w:t>
      </w:r>
    </w:p>
    <w:p>
      <w:pPr>
        <w:pStyle w:val="Normal"/>
        <w:jc w:val="both"/>
        <w:rPr>
          <w:sz w:val="23"/>
        </w:rPr>
      </w:pPr>
      <w:r>
        <w:rPr>
          <w:sz w:val="23"/>
        </w:rPr>
      </w:r>
    </w:p>
    <w:p>
      <w:pPr>
        <w:pStyle w:val="Normal"/>
        <w:numPr>
          <w:ilvl w:val="0"/>
          <w:numId w:val="5"/>
        </w:numPr>
        <w:jc w:val="both"/>
        <w:rPr>
          <w:sz w:val="23"/>
        </w:rPr>
      </w:pPr>
      <w:r>
        <w:rPr>
          <w:sz w:val="23"/>
        </w:rPr>
        <w:t>Sam Offshore defaulted on $15,500,000 Promissory Note</w:t>
      </w:r>
    </w:p>
    <w:p>
      <w:pPr>
        <w:pStyle w:val="Normal"/>
        <w:numPr>
          <w:ilvl w:val="0"/>
          <w:numId w:val="5"/>
        </w:numPr>
        <w:jc w:val="both"/>
        <w:rPr>
          <w:sz w:val="23"/>
        </w:rPr>
      </w:pPr>
      <w:r>
        <w:rPr>
          <w:sz w:val="23"/>
        </w:rPr>
        <w:t>Enserco seized the vessel on October 15, 1999.  The rig is located in Galveston</w:t>
      </w:r>
    </w:p>
    <w:p>
      <w:pPr>
        <w:pStyle w:val="Normal"/>
        <w:numPr>
          <w:ilvl w:val="0"/>
          <w:numId w:val="5"/>
        </w:numPr>
        <w:jc w:val="both"/>
        <w:rPr>
          <w:sz w:val="23"/>
        </w:rPr>
      </w:pPr>
      <w:r>
        <w:rPr>
          <w:sz w:val="23"/>
        </w:rPr>
        <w:t>Enserco filed suit against the guarantors of the Sam Offshore loan.  The guarantors are foreign companies.</w:t>
      </w:r>
    </w:p>
    <w:p>
      <w:pPr>
        <w:pStyle w:val="Normal"/>
        <w:numPr>
          <w:ilvl w:val="0"/>
          <w:numId w:val="5"/>
        </w:numPr>
        <w:jc w:val="both"/>
        <w:rPr>
          <w:sz w:val="23"/>
        </w:rPr>
      </w:pPr>
      <w:r>
        <w:rPr>
          <w:sz w:val="23"/>
        </w:rPr>
        <w:t>Enserco purchased the rig in a judicial foreclosure sale for $1 million.  We are attempting to sell this rig.</w:t>
      </w:r>
    </w:p>
    <w:p>
      <w:pPr>
        <w:pStyle w:val="Normal"/>
        <w:numPr>
          <w:ilvl w:val="0"/>
          <w:numId w:val="5"/>
        </w:numPr>
        <w:jc w:val="both"/>
        <w:rPr>
          <w:sz w:val="23"/>
        </w:rPr>
      </w:pPr>
      <w:r>
        <w:rPr>
          <w:sz w:val="23"/>
        </w:rPr>
        <w:t>Prior to the trial, the defendants agreed to a deficiency judgment in favor of Enserco.  Enserco agreed to dismiss fraudulent transfer claims against two defendants.</w:t>
      </w:r>
    </w:p>
    <w:p>
      <w:pPr>
        <w:pStyle w:val="Normal"/>
        <w:numPr>
          <w:ilvl w:val="0"/>
          <w:numId w:val="5"/>
        </w:numPr>
        <w:jc w:val="both"/>
        <w:rPr>
          <w:b/>
          <w:bCs/>
          <w:sz w:val="23"/>
        </w:rPr>
      </w:pPr>
      <w:r>
        <w:rPr>
          <w:sz w:val="23"/>
        </w:rPr>
        <w:t>Discovery is proceeding concerning the amount of the deficiency.</w:t>
      </w:r>
    </w:p>
    <w:p>
      <w:pPr>
        <w:pStyle w:val="Normal"/>
        <w:numPr>
          <w:ilvl w:val="0"/>
          <w:numId w:val="5"/>
        </w:numPr>
        <w:jc w:val="both"/>
        <w:rPr>
          <w:sz w:val="23"/>
        </w:rPr>
      </w:pPr>
      <w:r>
        <w:rPr>
          <w:sz w:val="23"/>
        </w:rPr>
        <w:t>Trial has been set for April 23, 2001.</w:t>
      </w:r>
    </w:p>
    <w:p>
      <w:pPr>
        <w:pStyle w:val="Normal"/>
        <w:numPr>
          <w:ilvl w:val="0"/>
          <w:numId w:val="0"/>
        </w:numPr>
        <w:ind w:hanging="0" w:start="0"/>
        <w:jc w:val="both"/>
        <w:rPr>
          <w:i/>
          <w:i/>
          <w:sz w:val="23"/>
          <w:u w:val="single"/>
        </w:rPr>
      </w:pPr>
      <w:r>
        <w:rPr>
          <w:i/>
          <w:sz w:val="23"/>
          <w:u w:val="single"/>
        </w:rPr>
      </w:r>
    </w:p>
    <w:p>
      <w:pPr>
        <w:pStyle w:val="Normal"/>
        <w:numPr>
          <w:ilvl w:val="0"/>
          <w:numId w:val="0"/>
        </w:numPr>
        <w:ind w:hanging="0" w:start="0"/>
        <w:jc w:val="both"/>
        <w:rPr>
          <w:i/>
          <w:i/>
          <w:sz w:val="23"/>
          <w:u w:val="single"/>
        </w:rPr>
      </w:pPr>
      <w:r>
        <w:rPr>
          <w:i/>
          <w:sz w:val="23"/>
          <w:u w:val="single"/>
        </w:rPr>
      </w:r>
    </w:p>
    <w:p>
      <w:pPr>
        <w:pStyle w:val="Normal"/>
        <w:numPr>
          <w:ilvl w:val="0"/>
          <w:numId w:val="0"/>
        </w:numPr>
        <w:ind w:hanging="0" w:start="0"/>
        <w:jc w:val="both"/>
        <w:rPr>
          <w:sz w:val="23"/>
        </w:rPr>
      </w:pPr>
      <w:r>
        <w:rPr>
          <w:i/>
          <w:sz w:val="23"/>
          <w:u w:val="single"/>
        </w:rPr>
        <w:t>Glatzer v. Enron Corp. and Enron Finance Corp.</w:t>
      </w:r>
    </w:p>
    <w:p>
      <w:pPr>
        <w:pStyle w:val="Normal"/>
        <w:numPr>
          <w:ilvl w:val="0"/>
          <w:numId w:val="0"/>
        </w:numPr>
        <w:ind w:hanging="0" w:start="0"/>
        <w:jc w:val="both"/>
        <w:rPr>
          <w:sz w:val="23"/>
        </w:rPr>
      </w:pPr>
      <w:r>
        <w:rPr>
          <w:sz w:val="23"/>
        </w:rPr>
        <w:t>(New York state court) (Susman Godfrey)</w:t>
      </w:r>
    </w:p>
    <w:p>
      <w:pPr>
        <w:pStyle w:val="Normal"/>
        <w:numPr>
          <w:ilvl w:val="0"/>
          <w:numId w:val="0"/>
        </w:numPr>
        <w:ind w:hanging="0" w:start="0"/>
        <w:jc w:val="both"/>
        <w:rPr>
          <w:sz w:val="23"/>
        </w:rPr>
      </w:pPr>
      <w:r>
        <w:rPr>
          <w:sz w:val="23"/>
        </w:rPr>
      </w:r>
    </w:p>
    <w:p>
      <w:pPr>
        <w:pStyle w:val="Normal"/>
        <w:numPr>
          <w:ilvl w:val="0"/>
          <w:numId w:val="5"/>
        </w:numPr>
        <w:jc w:val="both"/>
        <w:rPr>
          <w:sz w:val="23"/>
        </w:rPr>
      </w:pPr>
      <w:r>
        <w:rPr>
          <w:sz w:val="23"/>
        </w:rPr>
        <w:t>Plaintiff claims that ECT misappropriated trade secrets.  The alleged trade secret was Plaintiff’s idea to monetize production payments.  Plaintiff gave his idea to Bear Stearns who then allegedly relayed the idea to ECT.</w:t>
      </w:r>
    </w:p>
    <w:p>
      <w:pPr>
        <w:pStyle w:val="Normal"/>
        <w:numPr>
          <w:ilvl w:val="0"/>
          <w:numId w:val="5"/>
        </w:numPr>
        <w:jc w:val="both"/>
        <w:rPr>
          <w:sz w:val="23"/>
        </w:rPr>
      </w:pPr>
      <w:r>
        <w:rPr>
          <w:sz w:val="23"/>
        </w:rPr>
        <w:t>Plaintiff’s damages are unspecified, but he has offered to settle for $1 million</w:t>
      </w:r>
    </w:p>
    <w:p>
      <w:pPr>
        <w:pStyle w:val="Normal"/>
        <w:numPr>
          <w:ilvl w:val="0"/>
          <w:numId w:val="5"/>
        </w:numPr>
        <w:jc w:val="both"/>
        <w:rPr>
          <w:sz w:val="23"/>
        </w:rPr>
      </w:pPr>
      <w:r>
        <w:rPr>
          <w:sz w:val="23"/>
        </w:rPr>
        <w:t xml:space="preserve">ECT filed a motion for summary judgment and on July 14, 1999, the Court granted ECT’s motion for summary judgment. </w:t>
      </w:r>
    </w:p>
    <w:p>
      <w:pPr>
        <w:pStyle w:val="Normal"/>
        <w:numPr>
          <w:ilvl w:val="0"/>
          <w:numId w:val="5"/>
        </w:numPr>
        <w:jc w:val="both"/>
        <w:rPr>
          <w:i/>
          <w:i/>
          <w:sz w:val="23"/>
          <w:u w:val="single"/>
        </w:rPr>
      </w:pPr>
      <w:r>
        <w:rPr>
          <w:sz w:val="23"/>
        </w:rPr>
        <w:t>The plaintiff appealed the granting of the motion for summary judgment.  On December 10, 2001, the Court of Appeals affirmed the trial court’s decision granting summary judgment.</w:t>
      </w:r>
    </w:p>
    <w:p>
      <w:pPr>
        <w:pStyle w:val="Normal"/>
        <w:numPr>
          <w:ilvl w:val="0"/>
          <w:numId w:val="5"/>
        </w:numPr>
        <w:jc w:val="both"/>
        <w:rPr>
          <w:i/>
          <w:i/>
          <w:sz w:val="23"/>
          <w:u w:val="single"/>
        </w:rPr>
      </w:pPr>
      <w:r>
        <w:rPr>
          <w:sz w:val="23"/>
        </w:rPr>
        <w:t>Plaintiff has recently offered to settle for $500,000.  This offer was rejected.</w:t>
      </w:r>
    </w:p>
    <w:p>
      <w:pPr>
        <w:pStyle w:val="Normal"/>
        <w:jc w:val="both"/>
        <w:rPr>
          <w:i/>
          <w:i/>
          <w:sz w:val="23"/>
          <w:u w:val="single"/>
        </w:rPr>
      </w:pPr>
      <w:r>
        <w:rPr>
          <w:i/>
          <w:sz w:val="23"/>
          <w:u w:val="single"/>
        </w:rPr>
      </w:r>
    </w:p>
    <w:p>
      <w:pPr>
        <w:pStyle w:val="Heading6"/>
        <w:ind w:hanging="0" w:start="0"/>
        <w:rPr>
          <w:sz w:val="23"/>
          <w:u w:val="single"/>
        </w:rPr>
      </w:pPr>
      <w:r>
        <w:rPr>
          <w:sz w:val="23"/>
          <w:u w:val="single"/>
        </w:rPr>
        <w:t>Grynberg</w:t>
      </w:r>
    </w:p>
    <w:p>
      <w:pPr>
        <w:pStyle w:val="Footer"/>
        <w:tabs>
          <w:tab w:val="clear" w:pos="4320"/>
          <w:tab w:val="clear" w:pos="8640"/>
          <w:tab w:val="left" w:pos="540" w:leader="none"/>
        </w:tabs>
        <w:rPr>
          <w:sz w:val="23"/>
        </w:rPr>
      </w:pPr>
      <w:r>
        <w:rPr>
          <w:sz w:val="23"/>
        </w:rPr>
        <w:t>(Wyoming Federal Court) (Gibbs &amp; Bruns) (Vinson &amp; Elkins)</w:t>
      </w:r>
    </w:p>
    <w:p>
      <w:pPr>
        <w:pStyle w:val="Normal"/>
        <w:ind w:start="720" w:end="0"/>
        <w:jc w:val="both"/>
        <w:rPr>
          <w:sz w:val="23"/>
        </w:rPr>
      </w:pPr>
      <w:r>
        <w:rPr>
          <w:sz w:val="23"/>
        </w:rPr>
      </w:r>
    </w:p>
    <w:p>
      <w:pPr>
        <w:pStyle w:val="Normal"/>
        <w:numPr>
          <w:ilvl w:val="0"/>
          <w:numId w:val="5"/>
        </w:numPr>
        <w:jc w:val="both"/>
        <w:rPr>
          <w:sz w:val="23"/>
        </w:rPr>
      </w:pPr>
      <w:r>
        <w:rPr>
          <w:sz w:val="23"/>
        </w:rPr>
        <w:t>Qui tam action brought against HPL, LRC, and all pipeline companies in America alleging fraudulent practices in the measurement of gas.</w:t>
      </w:r>
    </w:p>
    <w:p>
      <w:pPr>
        <w:pStyle w:val="Normal"/>
        <w:numPr>
          <w:ilvl w:val="0"/>
          <w:numId w:val="5"/>
        </w:numPr>
        <w:jc w:val="both"/>
        <w:rPr>
          <w:sz w:val="23"/>
        </w:rPr>
      </w:pPr>
      <w:r>
        <w:rPr>
          <w:sz w:val="23"/>
        </w:rPr>
        <w:t>All of the cases have been consolidated in Wyoming.</w:t>
      </w:r>
    </w:p>
    <w:p>
      <w:pPr>
        <w:pStyle w:val="Normal"/>
        <w:numPr>
          <w:ilvl w:val="0"/>
          <w:numId w:val="5"/>
        </w:numPr>
        <w:jc w:val="both"/>
        <w:rPr>
          <w:sz w:val="23"/>
        </w:rPr>
      </w:pPr>
      <w:r>
        <w:rPr>
          <w:sz w:val="23"/>
        </w:rPr>
        <w:t xml:space="preserve">On March 18, 2000, the court heard oral arguments on the defendants’ motion to dismiss for failure to plead fraud with particularity.  The Court has not yet issued a decision. </w:t>
      </w:r>
    </w:p>
    <w:p>
      <w:pPr>
        <w:pStyle w:val="Normal"/>
        <w:jc w:val="both"/>
        <w:rPr>
          <w:i/>
          <w:i/>
          <w:sz w:val="23"/>
          <w:u w:val="single"/>
        </w:rPr>
      </w:pPr>
      <w:r>
        <w:rPr>
          <w:i/>
          <w:sz w:val="23"/>
          <w:u w:val="single"/>
        </w:rPr>
      </w:r>
    </w:p>
    <w:p>
      <w:pPr>
        <w:pStyle w:val="Normal"/>
        <w:jc w:val="both"/>
        <w:rPr>
          <w:i/>
          <w:i/>
          <w:sz w:val="23"/>
          <w:u w:val="single"/>
        </w:rPr>
      </w:pPr>
      <w:r>
        <w:rPr>
          <w:i/>
          <w:sz w:val="23"/>
          <w:u w:val="single"/>
        </w:rPr>
        <w:t>Hendricks, City of San Francisco, and Sweetwater</w:t>
      </w:r>
    </w:p>
    <w:p>
      <w:pPr>
        <w:pStyle w:val="Normal"/>
        <w:jc w:val="both"/>
        <w:rPr>
          <w:sz w:val="23"/>
        </w:rPr>
      </w:pPr>
      <w:r>
        <w:rPr>
          <w:sz w:val="23"/>
        </w:rPr>
        <w:t>(Gibbs &amp; Bruns/Brobeck, Pflager &amp; Harrison</w:t>
      </w:r>
      <w:r>
        <w:rPr>
          <w:rFonts w:cs="Arial"/>
          <w:color w:val="000000"/>
          <w:sz w:val="23"/>
          <w:szCs w:val="18"/>
          <w:lang w:val="en-US"/>
        </w:rPr>
        <w:t>)</w:t>
      </w:r>
    </w:p>
    <w:p>
      <w:pPr>
        <w:pStyle w:val="Normal"/>
        <w:tabs>
          <w:tab w:val="clear" w:pos="540"/>
        </w:tabs>
        <w:jc w:val="both"/>
        <w:rPr>
          <w:sz w:val="23"/>
        </w:rPr>
      </w:pPr>
      <w:r>
        <w:rPr>
          <w:sz w:val="23"/>
        </w:rPr>
      </w:r>
    </w:p>
    <w:p>
      <w:pPr>
        <w:pStyle w:val="Normal"/>
        <w:numPr>
          <w:ilvl w:val="0"/>
          <w:numId w:val="2"/>
        </w:numPr>
        <w:tabs>
          <w:tab w:val="clear" w:pos="540"/>
          <w:tab w:val="left" w:pos="1080" w:leader="none"/>
        </w:tabs>
        <w:ind w:hanging="360" w:start="1080" w:end="0"/>
        <w:jc w:val="both"/>
        <w:rPr>
          <w:sz w:val="23"/>
        </w:rPr>
      </w:pPr>
      <w:r>
        <w:rPr>
          <w:sz w:val="23"/>
        </w:rPr>
        <w:t>As a result of the California energy crisis, EPMI and EES have been sued in four separate cases.  All four lawsuits allege violations of the California anti-trust and unfair competition laws.</w:t>
      </w:r>
    </w:p>
    <w:p>
      <w:pPr>
        <w:pStyle w:val="Normal"/>
        <w:numPr>
          <w:ilvl w:val="1"/>
          <w:numId w:val="2"/>
        </w:numPr>
        <w:tabs>
          <w:tab w:val="clear" w:pos="540"/>
        </w:tabs>
        <w:jc w:val="both"/>
        <w:rPr>
          <w:sz w:val="23"/>
        </w:rPr>
      </w:pPr>
      <w:r>
        <w:rPr>
          <w:i/>
          <w:iCs/>
          <w:sz w:val="23"/>
          <w:u w:val="single"/>
        </w:rPr>
        <w:t>Hendricks</w:t>
      </w:r>
      <w:r>
        <w:rPr>
          <w:sz w:val="23"/>
        </w:rPr>
        <w:t xml:space="preserve"> is a class action filed in San Diego on behalf of all Californians.</w:t>
      </w:r>
    </w:p>
    <w:p>
      <w:pPr>
        <w:pStyle w:val="Normal"/>
        <w:tabs>
          <w:tab w:val="clear" w:pos="540"/>
        </w:tabs>
        <w:ind w:start="1080" w:end="0"/>
        <w:jc w:val="both"/>
        <w:rPr>
          <w:sz w:val="23"/>
        </w:rPr>
      </w:pPr>
      <w:r>
        <w:rPr>
          <w:sz w:val="23"/>
        </w:rPr>
      </w:r>
    </w:p>
    <w:p>
      <w:pPr>
        <w:pStyle w:val="Normal"/>
        <w:numPr>
          <w:ilvl w:val="1"/>
          <w:numId w:val="2"/>
        </w:numPr>
        <w:tabs>
          <w:tab w:val="clear" w:pos="540"/>
        </w:tabs>
        <w:jc w:val="both"/>
        <w:rPr>
          <w:sz w:val="23"/>
        </w:rPr>
      </w:pPr>
      <w:r>
        <w:rPr>
          <w:i/>
          <w:iCs/>
          <w:sz w:val="23"/>
          <w:u w:val="single"/>
        </w:rPr>
        <w:t>City of San Francisco</w:t>
      </w:r>
      <w:r>
        <w:rPr>
          <w:i/>
          <w:iCs/>
          <w:sz w:val="23"/>
        </w:rPr>
        <w:t xml:space="preserve"> </w:t>
      </w:r>
      <w:r>
        <w:rPr>
          <w:sz w:val="23"/>
        </w:rPr>
        <w:t>was filed in San Francisco on behalf of the City of San Francisco and all its rate payers.</w:t>
      </w:r>
    </w:p>
    <w:p>
      <w:pPr>
        <w:pStyle w:val="Normal"/>
        <w:numPr>
          <w:ilvl w:val="1"/>
          <w:numId w:val="2"/>
        </w:numPr>
        <w:tabs>
          <w:tab w:val="clear" w:pos="540"/>
        </w:tabs>
        <w:jc w:val="both"/>
        <w:rPr>
          <w:sz w:val="23"/>
        </w:rPr>
      </w:pPr>
      <w:r>
        <w:rPr>
          <w:i/>
          <w:iCs/>
          <w:sz w:val="23"/>
          <w:u w:val="single"/>
        </w:rPr>
        <w:t>Sweetwater Authority</w:t>
      </w:r>
      <w:r>
        <w:rPr>
          <w:sz w:val="23"/>
        </w:rPr>
        <w:t xml:space="preserve"> was filed in San Diego by three water districts based in Southern California.</w:t>
      </w:r>
    </w:p>
    <w:p>
      <w:pPr>
        <w:pStyle w:val="Normal"/>
        <w:tabs>
          <w:tab w:val="clear" w:pos="540"/>
        </w:tabs>
        <w:jc w:val="both"/>
        <w:rPr>
          <w:sz w:val="23"/>
        </w:rPr>
      </w:pPr>
      <w:r>
        <w:rPr>
          <w:sz w:val="23"/>
        </w:rPr>
      </w:r>
    </w:p>
    <w:p>
      <w:pPr>
        <w:pStyle w:val="Normal"/>
        <w:numPr>
          <w:ilvl w:val="1"/>
          <w:numId w:val="2"/>
        </w:numPr>
        <w:tabs>
          <w:tab w:val="clear" w:pos="540"/>
        </w:tabs>
        <w:jc w:val="both"/>
        <w:rPr>
          <w:sz w:val="23"/>
        </w:rPr>
      </w:pPr>
      <w:r>
        <w:rPr>
          <w:i/>
          <w:iCs/>
          <w:sz w:val="23"/>
          <w:u w:val="single"/>
        </w:rPr>
        <w:t>Pier 23 Restaurant</w:t>
      </w:r>
      <w:r>
        <w:rPr>
          <w:sz w:val="23"/>
        </w:rPr>
        <w:t xml:space="preserve"> was filed in San Francisco by retail customers of electricity.</w:t>
      </w:r>
    </w:p>
    <w:p>
      <w:pPr>
        <w:pStyle w:val="Normal"/>
        <w:ind w:start="720" w:end="0"/>
        <w:jc w:val="both"/>
        <w:rPr>
          <w:sz w:val="23"/>
        </w:rPr>
      </w:pPr>
      <w:r>
        <w:rPr>
          <w:sz w:val="23"/>
        </w:rPr>
      </w:r>
    </w:p>
    <w:p>
      <w:pPr>
        <w:pStyle w:val="Normal"/>
        <w:numPr>
          <w:ilvl w:val="0"/>
          <w:numId w:val="4"/>
        </w:numPr>
        <w:jc w:val="both"/>
        <w:rPr>
          <w:sz w:val="23"/>
        </w:rPr>
      </w:pPr>
      <w:r>
        <w:rPr>
          <w:sz w:val="23"/>
        </w:rPr>
        <w:t>There are three other cases filed in California against generators and marketers alleging identical causes of action.  Enron has not been named in the cases, but we are coordinating with the Defendants’ counsel in those cases.</w:t>
      </w:r>
    </w:p>
    <w:p>
      <w:pPr>
        <w:pStyle w:val="Normal"/>
        <w:numPr>
          <w:ilvl w:val="0"/>
          <w:numId w:val="4"/>
        </w:numPr>
        <w:jc w:val="both"/>
        <w:rPr>
          <w:sz w:val="23"/>
        </w:rPr>
      </w:pPr>
      <w:r>
        <w:rPr>
          <w:sz w:val="23"/>
        </w:rPr>
        <w:t>In addition, there are two cases filed against El Paso and Sempra alleging that they violated the California anti-trust and unfair competition laws by manipulating the gas markets in California.  Again, Enron is not named, but we are monitoring these cases.</w:t>
      </w:r>
    </w:p>
    <w:p>
      <w:pPr>
        <w:pStyle w:val="Normal"/>
        <w:numPr>
          <w:ilvl w:val="0"/>
          <w:numId w:val="4"/>
        </w:numPr>
        <w:jc w:val="both"/>
        <w:rPr>
          <w:bCs/>
          <w:sz w:val="23"/>
        </w:rPr>
      </w:pPr>
      <w:r>
        <w:rPr>
          <w:sz w:val="23"/>
        </w:rPr>
        <w:t>All cases filed in California have been removed to Federal District Court.  This removal stays all discovery.</w:t>
      </w:r>
    </w:p>
    <w:p>
      <w:pPr>
        <w:pStyle w:val="Normal"/>
        <w:numPr>
          <w:ilvl w:val="0"/>
          <w:numId w:val="4"/>
        </w:numPr>
        <w:jc w:val="both"/>
        <w:rPr>
          <w:bCs/>
          <w:sz w:val="23"/>
        </w:rPr>
      </w:pPr>
      <w:r>
        <w:rPr>
          <w:bCs/>
          <w:sz w:val="23"/>
        </w:rPr>
        <w:t xml:space="preserve">The plaintiffs have filed a motion to remand to State District Court.  </w:t>
      </w:r>
      <w:r>
        <w:rPr>
          <w:b/>
          <w:sz w:val="23"/>
        </w:rPr>
        <w:t>Defendants have requested that the motion to remand be stayed until the MDL panel has met.</w:t>
      </w:r>
    </w:p>
    <w:p>
      <w:pPr>
        <w:pStyle w:val="Normal"/>
        <w:numPr>
          <w:ilvl w:val="0"/>
          <w:numId w:val="4"/>
        </w:numPr>
        <w:jc w:val="both"/>
        <w:rPr>
          <w:bCs/>
          <w:sz w:val="23"/>
        </w:rPr>
      </w:pPr>
      <w:r>
        <w:rPr>
          <w:bCs/>
          <w:sz w:val="23"/>
        </w:rPr>
        <w:t>Defendants have requested that the cases be consolidated in one Federal District Court through the Multi-District Litigation process.</w:t>
      </w:r>
    </w:p>
    <w:p>
      <w:pPr>
        <w:pStyle w:val="Normal"/>
        <w:numPr>
          <w:ilvl w:val="0"/>
          <w:numId w:val="4"/>
        </w:numPr>
        <w:jc w:val="both"/>
        <w:rPr>
          <w:sz w:val="23"/>
        </w:rPr>
      </w:pPr>
      <w:r>
        <w:rPr>
          <w:bCs/>
          <w:sz w:val="23"/>
        </w:rPr>
        <w:t xml:space="preserve">Defendants have requested that the Plaintiff’s motion to remand be stayed until the Multi-Litigation process has concluded.  </w:t>
      </w:r>
      <w:r>
        <w:rPr>
          <w:b/>
          <w:sz w:val="23"/>
        </w:rPr>
        <w:t>The MDL panel will hear the request on May 31, 2001.</w:t>
      </w:r>
    </w:p>
    <w:p>
      <w:pPr>
        <w:pStyle w:val="Heading6"/>
        <w:ind w:hanging="0" w:start="0"/>
        <w:rPr>
          <w:sz w:val="23"/>
          <w:u w:val="single"/>
        </w:rPr>
      </w:pPr>
      <w:r>
        <w:rPr>
          <w:sz w:val="23"/>
          <w:u w:val="single"/>
        </w:rPr>
      </w:r>
    </w:p>
    <w:p>
      <w:pPr>
        <w:pStyle w:val="Heading6"/>
        <w:ind w:hanging="0" w:start="0"/>
        <w:rPr>
          <w:sz w:val="23"/>
          <w:u w:val="single"/>
        </w:rPr>
      </w:pPr>
      <w:r>
        <w:rPr>
          <w:sz w:val="23"/>
          <w:u w:val="single"/>
        </w:rPr>
        <w:t>Nakonthai Strip Mill (NSM) Thailand</w:t>
      </w:r>
    </w:p>
    <w:p>
      <w:pPr>
        <w:pStyle w:val="Subject"/>
        <w:tabs>
          <w:tab w:val="left" w:pos="540" w:leader="none"/>
        </w:tabs>
        <w:rPr>
          <w:sz w:val="23"/>
        </w:rPr>
      </w:pPr>
      <w:r>
        <w:rPr>
          <w:sz w:val="23"/>
        </w:rPr>
        <w:t>(Los Angeles State Court) (Millbank, Tweed)</w:t>
      </w:r>
    </w:p>
    <w:p>
      <w:pPr>
        <w:pStyle w:val="Normal"/>
        <w:rPr>
          <w:sz w:val="23"/>
        </w:rPr>
      </w:pPr>
      <w:r>
        <w:rPr>
          <w:sz w:val="23"/>
        </w:rPr>
      </w:r>
    </w:p>
    <w:p>
      <w:pPr>
        <w:pStyle w:val="Normal"/>
        <w:numPr>
          <w:ilvl w:val="0"/>
          <w:numId w:val="5"/>
        </w:numPr>
        <w:jc w:val="both"/>
        <w:rPr>
          <w:sz w:val="23"/>
        </w:rPr>
      </w:pPr>
      <w:r>
        <w:rPr>
          <w:sz w:val="23"/>
        </w:rPr>
        <w:t>Because of market conditions and alleged mismanagement, NSM has defaulted on its Thai bank loans.  NSM’s bondholders have also declared a default of NSM’s bonds.  The bonds have a face value of approximately $450 million.</w:t>
      </w:r>
    </w:p>
    <w:p>
      <w:pPr>
        <w:pStyle w:val="Normal"/>
        <w:numPr>
          <w:ilvl w:val="0"/>
          <w:numId w:val="5"/>
        </w:numPr>
        <w:jc w:val="both"/>
        <w:rPr>
          <w:sz w:val="23"/>
        </w:rPr>
      </w:pPr>
      <w:r>
        <w:rPr>
          <w:sz w:val="23"/>
        </w:rPr>
        <w:t>ECT Securities was an underwriter for approximately $25 million of the bonds and may have liability for any misrepresentations contained in the offering memorandum.</w:t>
      </w:r>
    </w:p>
    <w:p>
      <w:pPr>
        <w:pStyle w:val="Normal"/>
        <w:numPr>
          <w:ilvl w:val="0"/>
          <w:numId w:val="5"/>
        </w:numPr>
        <w:jc w:val="both"/>
        <w:rPr>
          <w:sz w:val="23"/>
        </w:rPr>
      </w:pPr>
      <w:r>
        <w:rPr>
          <w:sz w:val="23"/>
        </w:rPr>
        <w:t>Several lawsuits have been filed against our co-underwriters claiming alleged misrepresentations in the offering memorandum.  The lawsuits are pending in Minneapolis, New Jersey, Chicago and Los Angeles.</w:t>
      </w:r>
    </w:p>
    <w:p>
      <w:pPr>
        <w:pStyle w:val="Normal"/>
        <w:numPr>
          <w:ilvl w:val="0"/>
          <w:numId w:val="5"/>
        </w:numPr>
        <w:jc w:val="both"/>
        <w:rPr>
          <w:sz w:val="23"/>
        </w:rPr>
      </w:pPr>
      <w:r>
        <w:rPr>
          <w:sz w:val="23"/>
        </w:rPr>
        <w:t>ECT Securities has been sued by Farrollan and Legg Mason in Los Angeles State District Court.</w:t>
      </w:r>
    </w:p>
    <w:p>
      <w:pPr>
        <w:pStyle w:val="Normal"/>
        <w:numPr>
          <w:ilvl w:val="0"/>
          <w:numId w:val="5"/>
        </w:numPr>
        <w:jc w:val="both"/>
        <w:rPr>
          <w:sz w:val="23"/>
        </w:rPr>
      </w:pPr>
      <w:r>
        <w:rPr>
          <w:sz w:val="23"/>
        </w:rPr>
        <w:t>Extensive discovery has been conducted to date.  Enron employees’ depositions were taken on February 22, 2001.</w:t>
      </w:r>
      <w:r>
        <w:rPr>
          <w:b/>
          <w:bCs/>
          <w:sz w:val="23"/>
        </w:rPr>
        <w:t xml:space="preserve">  Trial is set on July 30, 2001.</w:t>
      </w:r>
    </w:p>
    <w:p>
      <w:pPr>
        <w:pStyle w:val="Normal"/>
        <w:rPr>
          <w:sz w:val="23"/>
        </w:rPr>
      </w:pPr>
      <w:r>
        <w:rPr>
          <w:sz w:val="23"/>
        </w:rPr>
      </w:r>
    </w:p>
    <w:p>
      <w:pPr>
        <w:pStyle w:val="Heading1"/>
        <w:keepLines w:val="false"/>
        <w:ind w:hanging="0" w:start="0"/>
        <w:rPr>
          <w:sz w:val="23"/>
        </w:rPr>
      </w:pPr>
      <w:r>
        <w:rPr>
          <w:sz w:val="23"/>
        </w:rPr>
        <w:t>PCA v. Enron Power Marketing</w:t>
      </w:r>
    </w:p>
    <w:p>
      <w:pPr>
        <w:pStyle w:val="Normal"/>
        <w:jc w:val="both"/>
        <w:rPr>
          <w:sz w:val="23"/>
        </w:rPr>
      </w:pPr>
      <w:r>
        <w:rPr>
          <w:sz w:val="23"/>
        </w:rPr>
        <w:t>(Connecticut Federal District Court) (Weil Gotshal &amp; Manges/Melanie Gray)</w:t>
      </w:r>
    </w:p>
    <w:p>
      <w:pPr>
        <w:pStyle w:val="Normal"/>
        <w:jc w:val="both"/>
        <w:rPr>
          <w:sz w:val="23"/>
        </w:rPr>
      </w:pPr>
      <w:r>
        <w:rPr>
          <w:sz w:val="23"/>
        </w:rPr>
      </w:r>
    </w:p>
    <w:p>
      <w:pPr>
        <w:pStyle w:val="Normal"/>
        <w:numPr>
          <w:ilvl w:val="0"/>
          <w:numId w:val="4"/>
        </w:numPr>
        <w:jc w:val="both"/>
        <w:rPr>
          <w:sz w:val="23"/>
        </w:rPr>
      </w:pPr>
      <w:r>
        <w:rPr>
          <w:sz w:val="23"/>
        </w:rPr>
        <w:t>Lawsuit filed by the PCA bankruptcy trustee alleging wrongful termination of PCA’s power contract.</w:t>
      </w:r>
    </w:p>
    <w:p>
      <w:pPr>
        <w:pStyle w:val="Normal"/>
        <w:numPr>
          <w:ilvl w:val="0"/>
          <w:numId w:val="4"/>
        </w:numPr>
        <w:jc w:val="both"/>
        <w:rPr>
          <w:sz w:val="23"/>
        </w:rPr>
      </w:pPr>
      <w:r>
        <w:rPr>
          <w:sz w:val="23"/>
        </w:rPr>
        <w:t>Alleged damages are between $4-12 million.</w:t>
      </w:r>
    </w:p>
    <w:p>
      <w:pPr>
        <w:pStyle w:val="Normal"/>
        <w:numPr>
          <w:ilvl w:val="0"/>
          <w:numId w:val="4"/>
        </w:numPr>
        <w:jc w:val="both"/>
        <w:rPr>
          <w:sz w:val="23"/>
        </w:rPr>
      </w:pPr>
      <w:r>
        <w:rPr>
          <w:sz w:val="23"/>
        </w:rPr>
        <w:t>Discovery is proceeding.</w:t>
      </w:r>
    </w:p>
    <w:p>
      <w:pPr>
        <w:pStyle w:val="Normal"/>
        <w:numPr>
          <w:ilvl w:val="0"/>
          <w:numId w:val="4"/>
        </w:numPr>
        <w:jc w:val="both"/>
        <w:rPr>
          <w:sz w:val="23"/>
        </w:rPr>
      </w:pPr>
      <w:r>
        <w:rPr>
          <w:sz w:val="23"/>
        </w:rPr>
        <w:t>The case has been settled.  EPMI agreed to reduce its claims in the PCA bankruptcy from $5.2 to $2.5 million.</w:t>
      </w:r>
    </w:p>
    <w:p>
      <w:pPr>
        <w:pStyle w:val="Heading1"/>
        <w:keepLines w:val="false"/>
        <w:ind w:hanging="0" w:start="0"/>
        <w:rPr>
          <w:sz w:val="23"/>
        </w:rPr>
      </w:pPr>
      <w:r>
        <w:rPr>
          <w:sz w:val="23"/>
        </w:rPr>
      </w:r>
    </w:p>
    <w:p>
      <w:pPr>
        <w:pStyle w:val="Heading6"/>
        <w:ind w:hanging="0" w:start="0"/>
        <w:rPr>
          <w:sz w:val="23"/>
          <w:u w:val="single"/>
        </w:rPr>
      </w:pPr>
      <w:r>
        <w:rPr>
          <w:sz w:val="23"/>
          <w:u w:val="single"/>
        </w:rPr>
        <w:t>Qunique Case</w:t>
      </w:r>
    </w:p>
    <w:p>
      <w:pPr>
        <w:pStyle w:val="Footer"/>
        <w:tabs>
          <w:tab w:val="clear" w:pos="4320"/>
          <w:tab w:val="clear" w:pos="8640"/>
          <w:tab w:val="left" w:pos="540" w:leader="none"/>
        </w:tabs>
        <w:rPr>
          <w:sz w:val="23"/>
        </w:rPr>
      </w:pPr>
      <w:r>
        <w:rPr>
          <w:sz w:val="23"/>
        </w:rPr>
        <w:t>(Kansas State District Court) (Gibbs &amp; Bruns) (Vinson &amp; Elkins)</w:t>
      </w:r>
    </w:p>
    <w:p>
      <w:pPr>
        <w:pStyle w:val="Normal"/>
        <w:ind w:start="720" w:end="0"/>
        <w:jc w:val="both"/>
        <w:rPr>
          <w:sz w:val="23"/>
        </w:rPr>
      </w:pPr>
      <w:r>
        <w:rPr>
          <w:sz w:val="23"/>
        </w:rPr>
      </w:r>
    </w:p>
    <w:p>
      <w:pPr>
        <w:pStyle w:val="Normal"/>
        <w:numPr>
          <w:ilvl w:val="0"/>
          <w:numId w:val="5"/>
        </w:numPr>
        <w:jc w:val="both"/>
        <w:rPr>
          <w:sz w:val="23"/>
        </w:rPr>
      </w:pPr>
      <w:r>
        <w:rPr>
          <w:sz w:val="23"/>
        </w:rPr>
        <w:t>This is a national class action filed in State District Court in Kansas on behalf of all gas producers and royalty interest owners alleging fraudulent practices in the measurement of gas.</w:t>
      </w:r>
    </w:p>
    <w:p>
      <w:pPr>
        <w:pStyle w:val="Normal"/>
        <w:numPr>
          <w:ilvl w:val="0"/>
          <w:numId w:val="5"/>
        </w:numPr>
        <w:jc w:val="both"/>
        <w:rPr>
          <w:sz w:val="23"/>
        </w:rPr>
      </w:pPr>
      <w:r>
        <w:rPr>
          <w:sz w:val="23"/>
        </w:rPr>
        <w:t>Enron removed the case to the Federal District Court of Kansas City alleging Federal Question jurisdiction.</w:t>
      </w:r>
    </w:p>
    <w:p>
      <w:pPr>
        <w:pStyle w:val="Normal"/>
        <w:numPr>
          <w:ilvl w:val="0"/>
          <w:numId w:val="5"/>
        </w:numPr>
        <w:jc w:val="both"/>
        <w:rPr>
          <w:b/>
          <w:bCs/>
          <w:sz w:val="23"/>
        </w:rPr>
      </w:pPr>
      <w:r>
        <w:rPr>
          <w:sz w:val="23"/>
        </w:rPr>
        <w:t>Plaintiffs filed a motion to remand to State District Court.  On January 10</w:t>
      </w:r>
      <w:r>
        <w:rPr>
          <w:sz w:val="23"/>
          <w:vertAlign w:val="superscript"/>
        </w:rPr>
        <w:t>th</w:t>
      </w:r>
      <w:r>
        <w:rPr>
          <w:sz w:val="23"/>
        </w:rPr>
        <w:t xml:space="preserve"> the Federal District Court granted Plaintiff’s motion to remand and sent the case back to the State District Court.  </w:t>
      </w:r>
    </w:p>
    <w:p>
      <w:pPr>
        <w:pStyle w:val="Normal"/>
        <w:numPr>
          <w:ilvl w:val="0"/>
          <w:numId w:val="5"/>
        </w:numPr>
        <w:jc w:val="both"/>
        <w:rPr>
          <w:sz w:val="23"/>
        </w:rPr>
      </w:pPr>
      <w:r>
        <w:rPr>
          <w:sz w:val="23"/>
        </w:rPr>
        <w:t>Plaintiffs have requested remand costs of $248,000.00 be assessed against Enron.</w:t>
      </w:r>
    </w:p>
    <w:p>
      <w:pPr>
        <w:pStyle w:val="Normal"/>
        <w:numPr>
          <w:ilvl w:val="0"/>
          <w:numId w:val="5"/>
        </w:numPr>
        <w:jc w:val="both"/>
        <w:rPr>
          <w:b/>
          <w:bCs/>
          <w:sz w:val="23"/>
        </w:rPr>
      </w:pPr>
      <w:r>
        <w:rPr>
          <w:b/>
          <w:bCs/>
          <w:sz w:val="23"/>
        </w:rPr>
        <w:t>On April 11, the Court conducted an initial conference and set certain deadlines for the Defendants to file objections to the jurisdiction.</w:t>
      </w:r>
    </w:p>
    <w:p>
      <w:pPr>
        <w:pStyle w:val="Normal"/>
        <w:rPr>
          <w:b/>
          <w:bCs/>
          <w:sz w:val="23"/>
        </w:rPr>
      </w:pPr>
      <w:r>
        <w:rPr>
          <w:b/>
          <w:bCs/>
          <w:sz w:val="23"/>
        </w:rPr>
      </w:r>
    </w:p>
    <w:p>
      <w:pPr>
        <w:pStyle w:val="Normal"/>
        <w:rPr>
          <w:sz w:val="23"/>
        </w:rPr>
      </w:pPr>
      <w:r>
        <w:rPr>
          <w:sz w:val="23"/>
        </w:rPr>
      </w:r>
    </w:p>
    <w:p>
      <w:pPr>
        <w:pStyle w:val="Normal"/>
        <w:rPr>
          <w:sz w:val="23"/>
        </w:rPr>
      </w:pPr>
      <w:r>
        <w:rPr>
          <w:sz w:val="23"/>
        </w:rPr>
      </w:r>
    </w:p>
    <w:p>
      <w:pPr>
        <w:pStyle w:val="Heading1"/>
        <w:keepLines w:val="false"/>
        <w:ind w:hanging="0" w:start="0"/>
        <w:rPr>
          <w:sz w:val="23"/>
        </w:rPr>
      </w:pPr>
      <w:r>
        <w:rPr>
          <w:sz w:val="23"/>
        </w:rPr>
        <w:t>Wright v. Enron Corporation</w:t>
      </w:r>
    </w:p>
    <w:p>
      <w:pPr>
        <w:pStyle w:val="Normal"/>
        <w:jc w:val="both"/>
        <w:rPr>
          <w:sz w:val="23"/>
        </w:rPr>
      </w:pPr>
      <w:r>
        <w:rPr>
          <w:sz w:val="23"/>
        </w:rPr>
        <w:t>(Gibbs &amp; Bruns/Vinson &amp;  Elkins)</w:t>
      </w:r>
    </w:p>
    <w:p>
      <w:pPr>
        <w:pStyle w:val="Normal"/>
        <w:jc w:val="both"/>
        <w:rPr>
          <w:sz w:val="23"/>
        </w:rPr>
      </w:pPr>
      <w:r>
        <w:rPr>
          <w:sz w:val="23"/>
        </w:rPr>
      </w:r>
    </w:p>
    <w:p>
      <w:pPr>
        <w:pStyle w:val="Normal"/>
        <w:numPr>
          <w:ilvl w:val="0"/>
          <w:numId w:val="4"/>
        </w:numPr>
        <w:jc w:val="both"/>
        <w:rPr>
          <w:sz w:val="23"/>
        </w:rPr>
      </w:pPr>
      <w:r>
        <w:rPr>
          <w:sz w:val="23"/>
        </w:rPr>
        <w:t>Qui tam case alleging that all marketing affiliates, including ECT, were created to defraud the federal government of royalty obligations.</w:t>
      </w:r>
    </w:p>
    <w:p>
      <w:pPr>
        <w:pStyle w:val="Normal"/>
        <w:numPr>
          <w:ilvl w:val="0"/>
          <w:numId w:val="4"/>
        </w:numPr>
        <w:jc w:val="both"/>
        <w:rPr>
          <w:sz w:val="23"/>
        </w:rPr>
      </w:pPr>
      <w:r>
        <w:rPr>
          <w:sz w:val="23"/>
        </w:rPr>
        <w:t xml:space="preserve">This case has been moved to the same judge presiding in </w:t>
      </w:r>
      <w:r>
        <w:rPr>
          <w:sz w:val="23"/>
          <w:u w:val="single"/>
        </w:rPr>
        <w:t>Grynberg</w:t>
      </w:r>
      <w:r>
        <w:rPr>
          <w:sz w:val="23"/>
        </w:rPr>
        <w:t xml:space="preserve"> case in Wyoming.</w:t>
      </w:r>
    </w:p>
    <w:p>
      <w:pPr>
        <w:pStyle w:val="Normal"/>
        <w:numPr>
          <w:ilvl w:val="0"/>
          <w:numId w:val="4"/>
        </w:numPr>
        <w:jc w:val="both"/>
        <w:rPr>
          <w:sz w:val="23"/>
        </w:rPr>
      </w:pPr>
      <w:r>
        <w:rPr>
          <w:sz w:val="23"/>
        </w:rPr>
        <w:t>The Department of Justice has not decided whether to intervene in case against Enron.  The DOJ has intervened as to other defendants.</w:t>
      </w:r>
    </w:p>
    <w:p>
      <w:pPr>
        <w:pStyle w:val="Body"/>
        <w:ind w:start="0" w:end="0"/>
        <w:rPr>
          <w:b/>
          <w:sz w:val="23"/>
        </w:rPr>
      </w:pPr>
      <w:r>
        <w:rPr>
          <w:b/>
          <w:sz w:val="23"/>
        </w:rPr>
      </w:r>
    </w:p>
    <w:p>
      <w:pPr>
        <w:pStyle w:val="Heading1"/>
        <w:keepLines w:val="false"/>
        <w:ind w:hanging="0" w:start="0"/>
        <w:rPr>
          <w:i w:val="false"/>
          <w:i w:val="false"/>
          <w:iCs/>
          <w:sz w:val="23"/>
          <w:u w:val="none"/>
        </w:rPr>
      </w:pPr>
      <w:r>
        <w:rPr>
          <w:sz w:val="23"/>
        </w:rPr>
        <w:t>Garden State Paper Personal Injury Cases</w:t>
      </w:r>
    </w:p>
    <w:p>
      <w:pPr>
        <w:pStyle w:val="Normal"/>
        <w:rPr>
          <w:i/>
          <w:i/>
          <w:iCs/>
          <w:sz w:val="23"/>
          <w:u w:val="none"/>
        </w:rPr>
      </w:pPr>
      <w:r>
        <w:rPr>
          <w:i/>
          <w:iCs/>
          <w:sz w:val="23"/>
          <w:u w:val="none"/>
        </w:rPr>
      </w:r>
    </w:p>
    <w:p>
      <w:pPr>
        <w:pStyle w:val="BodyTextIndent2"/>
        <w:jc w:val="both"/>
        <w:rPr/>
      </w:pPr>
      <w:r>
        <w:rPr>
          <w:b w:val="false"/>
          <w:bCs w:val="false"/>
          <w:sz w:val="23"/>
        </w:rPr>
        <w:tab/>
      </w:r>
      <w:r>
        <w:rPr>
          <w:b w:val="false"/>
          <w:bCs w:val="false"/>
          <w:sz w:val="28"/>
        </w:rPr>
        <w:t>•</w:t>
      </w:r>
      <w:r>
        <w:rPr>
          <w:b w:val="false"/>
          <w:bCs w:val="false"/>
          <w:sz w:val="23"/>
        </w:rPr>
        <w:tab/>
        <w:t>In the last few months, Garden State Paper (“GSP”) has faced three serious personal injury cases.</w:t>
      </w:r>
    </w:p>
    <w:p>
      <w:pPr>
        <w:pStyle w:val="BodyTextIndent2"/>
        <w:jc w:val="both"/>
        <w:rPr/>
      </w:pPr>
      <w:r>
        <w:rPr>
          <w:b w:val="false"/>
          <w:bCs w:val="false"/>
          <w:sz w:val="23"/>
        </w:rPr>
        <w:tab/>
      </w:r>
      <w:r>
        <w:rPr>
          <w:b w:val="false"/>
          <w:bCs w:val="false"/>
          <w:sz w:val="28"/>
        </w:rPr>
        <w:t>•</w:t>
      </w:r>
      <w:r>
        <w:rPr>
          <w:b w:val="false"/>
          <w:bCs w:val="false"/>
          <w:sz w:val="23"/>
        </w:rPr>
        <w:tab/>
      </w:r>
      <w:r>
        <w:rPr>
          <w:b w:val="false"/>
          <w:bCs w:val="false"/>
          <w:sz w:val="23"/>
          <w:u w:val="single"/>
        </w:rPr>
        <w:t>The Carlos Gines matter</w:t>
      </w:r>
      <w:r>
        <w:rPr>
          <w:b w:val="false"/>
          <w:bCs w:val="false"/>
          <w:sz w:val="23"/>
        </w:rPr>
        <w:t>:  Mr. Gines was an employee of Sistec, a contractor at GSP hired to perform various maintenance duties.  Mr. Gines was trying to move some equipment when a 4,000 pound blade assembly fell on his upper thigh almost severing his leg.  Medical expenses are expected to approach $400,000.00.  Mr. Gines has hired counsel, but no lawsuit has been filed.</w:t>
      </w:r>
    </w:p>
    <w:p>
      <w:pPr>
        <w:pStyle w:val="BodyTextIndent2"/>
        <w:jc w:val="both"/>
        <w:rPr/>
      </w:pPr>
      <w:r>
        <w:rPr>
          <w:b w:val="false"/>
          <w:bCs w:val="false"/>
          <w:sz w:val="23"/>
        </w:rPr>
        <w:tab/>
      </w:r>
      <w:r>
        <w:rPr>
          <w:b w:val="false"/>
          <w:bCs w:val="false"/>
          <w:sz w:val="28"/>
        </w:rPr>
        <w:t>•</w:t>
      </w:r>
      <w:r>
        <w:rPr>
          <w:b w:val="false"/>
          <w:bCs w:val="false"/>
          <w:sz w:val="23"/>
        </w:rPr>
        <w:tab/>
      </w:r>
      <w:r>
        <w:rPr>
          <w:b w:val="false"/>
          <w:bCs w:val="false"/>
          <w:sz w:val="23"/>
          <w:u w:val="single"/>
        </w:rPr>
        <w:t>The Philip Buffalo matter</w:t>
      </w:r>
      <w:r>
        <w:rPr>
          <w:b w:val="false"/>
          <w:bCs w:val="false"/>
          <w:sz w:val="23"/>
        </w:rPr>
        <w:t>:  Mr. Buffalo was an employee of Penske, another contractor at GSP.  Mr. Buffalo was hit by a forklift operated by a GSP employee, resulting in serious leg and thigh injuries.  Mr. Buffalo has retained counsel, but no lawsuit has been filed.  OSHA has levelled a fine and serious citation against GSP for its employee’s actions.</w:t>
      </w:r>
    </w:p>
    <w:p>
      <w:pPr>
        <w:pStyle w:val="BodyTextIndent2"/>
        <w:jc w:val="both"/>
        <w:rPr/>
      </w:pPr>
      <w:r>
        <w:rPr>
          <w:b w:val="false"/>
          <w:bCs w:val="false"/>
          <w:sz w:val="23"/>
        </w:rPr>
        <w:tab/>
      </w:r>
      <w:r>
        <w:rPr>
          <w:b w:val="false"/>
          <w:bCs w:val="false"/>
          <w:sz w:val="28"/>
        </w:rPr>
        <w:t>•</w:t>
      </w:r>
      <w:r>
        <w:rPr>
          <w:b w:val="false"/>
          <w:bCs w:val="false"/>
          <w:sz w:val="23"/>
        </w:rPr>
        <w:tab/>
      </w:r>
      <w:r>
        <w:rPr>
          <w:b w:val="false"/>
          <w:bCs w:val="false"/>
          <w:sz w:val="23"/>
          <w:u w:val="single"/>
        </w:rPr>
        <w:t>The Julio DeLeon matter</w:t>
      </w:r>
      <w:r>
        <w:rPr>
          <w:b w:val="false"/>
          <w:bCs w:val="false"/>
          <w:sz w:val="23"/>
        </w:rPr>
        <w:t>:  Mr. DeLeon, an employee of New Jersey Wire (another subcontractor), sustained head injuries while attempting to remove heavy wire rolls from a wire rack.  As of this date, we do not believe Mr. DeLeon has hired counsel.</w:t>
      </w:r>
    </w:p>
    <w:p>
      <w:pPr>
        <w:pStyle w:val="Heading1"/>
        <w:keepLines w:val="false"/>
        <w:ind w:hanging="0" w:start="0"/>
        <w:rPr>
          <w:b/>
          <w:bCs/>
          <w:sz w:val="23"/>
        </w:rPr>
      </w:pPr>
      <w:r>
        <w:rPr>
          <w:b/>
          <w:bCs/>
          <w:sz w:val="23"/>
        </w:rPr>
      </w:r>
    </w:p>
    <w:p>
      <w:pPr>
        <w:pStyle w:val="Heading1"/>
        <w:keepLines w:val="false"/>
        <w:ind w:hanging="0" w:start="0"/>
        <w:rPr>
          <w:sz w:val="23"/>
        </w:rPr>
      </w:pPr>
      <w:r>
        <w:rPr>
          <w:sz w:val="23"/>
        </w:rPr>
        <w:t>John Schultes v. Enron North America Corp. and ECT Thailand Investments, Inc.</w:t>
      </w:r>
    </w:p>
    <w:p>
      <w:pPr>
        <w:pStyle w:val="Normal"/>
        <w:jc w:val="both"/>
        <w:rPr>
          <w:sz w:val="23"/>
        </w:rPr>
      </w:pPr>
      <w:r>
        <w:rPr>
          <w:sz w:val="23"/>
        </w:rPr>
        <w:t>(Cleveland Ohio State District Court)</w:t>
      </w:r>
    </w:p>
    <w:p>
      <w:pPr>
        <w:pStyle w:val="Normal"/>
        <w:jc w:val="both"/>
        <w:rPr>
          <w:sz w:val="23"/>
        </w:rPr>
      </w:pPr>
      <w:r>
        <w:rPr>
          <w:sz w:val="23"/>
        </w:rPr>
      </w:r>
    </w:p>
    <w:p>
      <w:pPr>
        <w:pStyle w:val="Normal"/>
        <w:tabs>
          <w:tab w:val="left" w:pos="540" w:leader="none"/>
          <w:tab w:val="left" w:pos="1080" w:leader="none"/>
        </w:tabs>
        <w:ind w:hanging="360" w:start="1080" w:end="0"/>
        <w:jc w:val="both"/>
        <w:rPr/>
      </w:pPr>
      <w:r>
        <w:rPr>
          <w:rFonts w:cs="Arial"/>
          <w:sz w:val="28"/>
        </w:rPr>
        <w:t>•</w:t>
      </w:r>
      <w:r>
        <w:rPr>
          <w:rFonts w:cs="Arial"/>
          <w:sz w:val="23"/>
        </w:rPr>
        <w:tab/>
      </w:r>
      <w:r>
        <w:rPr>
          <w:sz w:val="23"/>
        </w:rPr>
        <w:t>John Schultes is the former president of NSM.  His 8 year employment agreement was terminated by NSM Management Co., of which ECT Thailand Investments Inc. was a member.</w:t>
      </w:r>
    </w:p>
    <w:p>
      <w:pPr>
        <w:pStyle w:val="Normal"/>
        <w:tabs>
          <w:tab w:val="left" w:pos="540" w:leader="none"/>
          <w:tab w:val="left" w:pos="1080" w:leader="none"/>
        </w:tabs>
        <w:ind w:hanging="360" w:start="1080" w:end="0"/>
        <w:jc w:val="both"/>
        <w:rPr/>
      </w:pPr>
      <w:r>
        <w:rPr>
          <w:rFonts w:cs="Arial"/>
          <w:sz w:val="28"/>
        </w:rPr>
        <w:t>•</w:t>
      </w:r>
      <w:r>
        <w:rPr>
          <w:rFonts w:cs="Arial"/>
          <w:sz w:val="23"/>
        </w:rPr>
        <w:tab/>
      </w:r>
      <w:r>
        <w:rPr>
          <w:sz w:val="23"/>
        </w:rPr>
        <w:t>Schultes has sued ENA and ECT Thailand Investments for breach of contract, tortuous interference, fraud, defamation and negligent misrepresentation as a result of their involvement in Schultes’ termination.</w:t>
      </w:r>
    </w:p>
    <w:p>
      <w:pPr>
        <w:pStyle w:val="Normal"/>
        <w:tabs>
          <w:tab w:val="left" w:pos="540" w:leader="none"/>
          <w:tab w:val="left" w:pos="1080" w:leader="none"/>
        </w:tabs>
        <w:ind w:hanging="360" w:start="1080" w:end="0"/>
        <w:jc w:val="both"/>
        <w:rPr>
          <w:b/>
          <w:bCs/>
          <w:sz w:val="23"/>
        </w:rPr>
      </w:pPr>
      <w:r>
        <w:rPr>
          <w:rFonts w:cs="Arial"/>
          <w:sz w:val="28"/>
        </w:rPr>
        <w:t>•</w:t>
      </w:r>
      <w:r>
        <w:rPr>
          <w:rFonts w:cs="Arial"/>
          <w:sz w:val="23"/>
        </w:rPr>
        <w:tab/>
      </w:r>
      <w:r>
        <w:rPr>
          <w:rFonts w:cs="Arial"/>
          <w:b/>
          <w:bCs/>
          <w:sz w:val="23"/>
        </w:rPr>
        <w:t>Enron’s answer date is May 25</w:t>
      </w:r>
      <w:r>
        <w:rPr>
          <w:rFonts w:cs="Arial"/>
          <w:b/>
          <w:bCs/>
          <w:sz w:val="23"/>
          <w:vertAlign w:val="superscript"/>
        </w:rPr>
        <w:t>th</w:t>
      </w:r>
      <w:r>
        <w:rPr>
          <w:rFonts w:cs="Arial"/>
          <w:b/>
          <w:bCs/>
          <w:sz w:val="23"/>
        </w:rPr>
        <w:t>.</w:t>
      </w:r>
    </w:p>
    <w:p>
      <w:pPr>
        <w:pStyle w:val="Normal"/>
        <w:jc w:val="both"/>
        <w:rPr>
          <w:b/>
          <w:bCs/>
          <w:sz w:val="23"/>
        </w:rPr>
      </w:pPr>
      <w:r>
        <w:rPr>
          <w:b/>
          <w:bCs/>
          <w:sz w:val="23"/>
        </w:rPr>
      </w:r>
    </w:p>
    <w:p>
      <w:pPr>
        <w:pStyle w:val="Heading1"/>
        <w:keepLines w:val="false"/>
        <w:ind w:hanging="0" w:start="0"/>
        <w:rPr>
          <w:i w:val="false"/>
          <w:i w:val="false"/>
          <w:iCs/>
          <w:sz w:val="23"/>
          <w:u w:val="none"/>
        </w:rPr>
      </w:pPr>
      <w:r>
        <w:rPr>
          <w:sz w:val="23"/>
        </w:rPr>
        <w:t>Michigan Power Limited Partnership/Consumer Energy</w:t>
      </w:r>
    </w:p>
    <w:p>
      <w:pPr>
        <w:pStyle w:val="Normal"/>
        <w:tabs>
          <w:tab w:val="clear" w:pos="540"/>
          <w:tab w:val="left" w:pos="720" w:leader="none"/>
          <w:tab w:val="left" w:pos="1080" w:leader="none"/>
        </w:tabs>
        <w:ind w:hanging="1080" w:start="1080" w:end="0"/>
        <w:jc w:val="both"/>
        <w:rPr>
          <w:sz w:val="23"/>
        </w:rPr>
      </w:pPr>
      <w:r>
        <w:rPr>
          <w:sz w:val="23"/>
        </w:rPr>
        <w:t xml:space="preserve">(No Pending Litigation) </w:t>
      </w:r>
    </w:p>
    <w:p>
      <w:pPr>
        <w:pStyle w:val="Normal"/>
        <w:rPr>
          <w:sz w:val="23"/>
        </w:rPr>
      </w:pPr>
      <w:r>
        <w:rPr>
          <w:sz w:val="23"/>
        </w:rPr>
      </w:r>
    </w:p>
    <w:p>
      <w:pPr>
        <w:pStyle w:val="BodyTextIndent2"/>
        <w:jc w:val="both"/>
        <w:rPr/>
      </w:pPr>
      <w:r>
        <w:rPr>
          <w:b w:val="false"/>
          <w:bCs w:val="false"/>
          <w:sz w:val="23"/>
        </w:rPr>
        <w:tab/>
      </w:r>
      <w:r>
        <w:rPr>
          <w:b w:val="false"/>
          <w:bCs w:val="false"/>
          <w:sz w:val="28"/>
        </w:rPr>
        <w:t>•</w:t>
      </w:r>
      <w:r>
        <w:rPr>
          <w:b w:val="false"/>
          <w:bCs w:val="false"/>
          <w:sz w:val="23"/>
        </w:rPr>
        <w:tab/>
        <w:t>Enron and Dynegy are 50 percent owners of the Michigan Power Limited Partnership (“MPLP”).  MPLP went into service on October 1, 1995.</w:t>
      </w:r>
    </w:p>
    <w:p>
      <w:pPr>
        <w:pStyle w:val="BodyTextIndent2"/>
        <w:jc w:val="both"/>
        <w:rPr/>
      </w:pPr>
      <w:r>
        <w:rPr>
          <w:b w:val="false"/>
          <w:bCs w:val="false"/>
          <w:sz w:val="23"/>
        </w:rPr>
        <w:tab/>
      </w:r>
      <w:r>
        <w:rPr>
          <w:b w:val="false"/>
          <w:bCs w:val="false"/>
          <w:sz w:val="28"/>
        </w:rPr>
        <w:t>•</w:t>
      </w:r>
      <w:r>
        <w:rPr>
          <w:b w:val="false"/>
          <w:bCs w:val="false"/>
          <w:sz w:val="23"/>
        </w:rPr>
        <w:tab/>
        <w:t>MPLP provides power to consumers Energy under a PPA that ends September 20, 2030.</w:t>
      </w:r>
    </w:p>
    <w:p>
      <w:pPr>
        <w:pStyle w:val="BodyTextIndent2"/>
        <w:jc w:val="both"/>
        <w:rPr/>
      </w:pPr>
      <w:r>
        <w:rPr>
          <w:b w:val="false"/>
          <w:bCs w:val="false"/>
          <w:sz w:val="23"/>
        </w:rPr>
        <w:tab/>
      </w:r>
      <w:r>
        <w:rPr>
          <w:b w:val="false"/>
          <w:bCs w:val="false"/>
          <w:sz w:val="28"/>
        </w:rPr>
        <w:t>•</w:t>
      </w:r>
      <w:r>
        <w:rPr>
          <w:b w:val="false"/>
          <w:bCs w:val="false"/>
          <w:sz w:val="23"/>
        </w:rPr>
        <w:tab/>
        <w:t xml:space="preserve">In February 2001, Consumers Energy sent MPLP a letter contending that Consumer Energy </w:t>
      </w:r>
      <w:r>
        <w:rPr>
          <w:b w:val="false"/>
          <w:bCs w:val="false"/>
          <w:sz w:val="23"/>
          <w:u w:val="single"/>
        </w:rPr>
        <w:t>overpaid</w:t>
      </w:r>
      <w:r>
        <w:rPr>
          <w:b w:val="false"/>
          <w:bCs w:val="false"/>
          <w:sz w:val="23"/>
        </w:rPr>
        <w:t xml:space="preserve"> MPLP $16.1 million in capacity charges from 1996 through 2000.  Enron would be responsible for half of this amount.</w:t>
      </w:r>
    </w:p>
    <w:p>
      <w:pPr>
        <w:pStyle w:val="BodyTextIndent2"/>
        <w:jc w:val="both"/>
        <w:rPr/>
      </w:pPr>
      <w:r>
        <w:rPr>
          <w:b w:val="false"/>
          <w:bCs w:val="false"/>
          <w:sz w:val="23"/>
        </w:rPr>
        <w:tab/>
      </w:r>
      <w:r>
        <w:rPr>
          <w:b w:val="false"/>
          <w:bCs w:val="false"/>
          <w:sz w:val="28"/>
        </w:rPr>
        <w:t>•</w:t>
      </w:r>
      <w:r>
        <w:rPr>
          <w:b w:val="false"/>
          <w:bCs w:val="false"/>
          <w:sz w:val="23"/>
        </w:rPr>
        <w:tab/>
        <w:t>Capacity rates under the PPA are to be increased annually.  The key question is whether the capacity rate increase should take place on January 1 (calendar year) or October 1 (the anniversary of the commercial operation date of the facility).</w:t>
      </w:r>
    </w:p>
    <w:p>
      <w:pPr>
        <w:pStyle w:val="BodyTextIndent2"/>
        <w:jc w:val="both"/>
        <w:rPr/>
      </w:pPr>
      <w:r>
        <w:rPr>
          <w:b w:val="false"/>
          <w:bCs w:val="false"/>
          <w:sz w:val="23"/>
        </w:rPr>
        <w:tab/>
      </w:r>
      <w:r>
        <w:rPr>
          <w:b w:val="false"/>
          <w:bCs w:val="false"/>
          <w:sz w:val="28"/>
        </w:rPr>
        <w:t>•</w:t>
      </w:r>
      <w:r>
        <w:rPr>
          <w:b w:val="false"/>
          <w:bCs w:val="false"/>
          <w:sz w:val="23"/>
        </w:rPr>
        <w:tab/>
        <w:t>Consumers Energy self-billed under the PPA and increased capacity rates every January 1 (calendar year).  Now Consumers Energy contends that increase was in error and that the PPA requires the capacity rate to increase every October 1.</w:t>
      </w:r>
    </w:p>
    <w:p>
      <w:pPr>
        <w:pStyle w:val="BodyTextIndent2"/>
        <w:jc w:val="both"/>
        <w:rPr/>
      </w:pPr>
      <w:r>
        <w:rPr>
          <w:b w:val="false"/>
          <w:bCs w:val="false"/>
          <w:sz w:val="23"/>
        </w:rPr>
        <w:tab/>
      </w:r>
      <w:r>
        <w:rPr>
          <w:b w:val="false"/>
          <w:bCs w:val="false"/>
          <w:sz w:val="28"/>
        </w:rPr>
        <w:t>•</w:t>
      </w:r>
      <w:r>
        <w:rPr>
          <w:b w:val="false"/>
          <w:bCs w:val="false"/>
          <w:sz w:val="23"/>
        </w:rPr>
        <w:tab/>
        <w:t>Representatives of MCN (the predecessor to Enron) have indicated in recent interviews that the January 1 capacity rate increases were not expected by MPLP.  Consumers Energy’s position has some merit.  MCN expected the capacity rate to increase in October and was “quite surprised” when the capacity rate increased on January 1, 1996.</w:t>
      </w:r>
    </w:p>
    <w:p>
      <w:pPr>
        <w:pStyle w:val="BodyTextIndent2"/>
        <w:jc w:val="both"/>
        <w:rPr/>
      </w:pPr>
      <w:r>
        <w:rPr>
          <w:b w:val="false"/>
          <w:bCs w:val="false"/>
          <w:sz w:val="23"/>
        </w:rPr>
        <w:tab/>
      </w:r>
      <w:r>
        <w:rPr>
          <w:b w:val="false"/>
          <w:bCs w:val="false"/>
          <w:sz w:val="28"/>
        </w:rPr>
        <w:t>•</w:t>
      </w:r>
      <w:r>
        <w:rPr>
          <w:b w:val="false"/>
          <w:bCs w:val="false"/>
          <w:sz w:val="23"/>
        </w:rPr>
        <w:tab/>
        <w:t xml:space="preserve">Arbitration has been threatened, but has not been commenced. </w:t>
      </w:r>
    </w:p>
    <w:p>
      <w:pPr>
        <w:pStyle w:val="BodyTextIndent2"/>
        <w:jc w:val="both"/>
        <w:rPr>
          <w:b w:val="false"/>
          <w:bCs w:val="false"/>
          <w:sz w:val="23"/>
        </w:rPr>
      </w:pPr>
      <w:r>
        <w:rPr>
          <w:b w:val="false"/>
          <w:bCs w:val="false"/>
          <w:sz w:val="23"/>
        </w:rPr>
      </w:r>
    </w:p>
    <w:p>
      <w:pPr>
        <w:pStyle w:val="Normal"/>
        <w:jc w:val="both"/>
        <w:rPr>
          <w:sz w:val="23"/>
        </w:rPr>
      </w:pPr>
      <w:r>
        <w:rPr>
          <w:sz w:val="23"/>
        </w:rPr>
        <w:t>cc:</w:t>
        <w:tab/>
        <w:t>James V. Derrick</w:t>
      </w:r>
    </w:p>
    <w:p>
      <w:pPr>
        <w:pStyle w:val="Normal"/>
        <w:jc w:val="both"/>
        <w:rPr>
          <w:sz w:val="23"/>
        </w:rPr>
      </w:pPr>
      <w:r>
        <w:rPr>
          <w:sz w:val="23"/>
        </w:rPr>
        <w:tab/>
        <w:t>Julia A. Murray</w:t>
      </w:r>
    </w:p>
    <w:p>
      <w:pPr>
        <w:pStyle w:val="Normal"/>
        <w:jc w:val="both"/>
        <w:rPr>
          <w:sz w:val="23"/>
        </w:rPr>
      </w:pPr>
      <w:r>
        <w:rPr>
          <w:sz w:val="23"/>
        </w:rPr>
        <w:tab/>
        <w:t>Mark Frevert</w:t>
      </w:r>
    </w:p>
    <w:p>
      <w:pPr>
        <w:pStyle w:val="Normal"/>
        <w:jc w:val="both"/>
        <w:rPr>
          <w:sz w:val="23"/>
        </w:rPr>
      </w:pPr>
      <w:r>
        <w:rPr>
          <w:sz w:val="23"/>
        </w:rPr>
        <w:tab/>
        <w:t>John Lavorato</w:t>
      </w:r>
    </w:p>
    <w:sectPr>
      <w:headerReference w:type="default" r:id="rId4"/>
      <w:headerReference w:type="first" r:id="rId5"/>
      <w:footerReference w:type="default" r:id="rId6"/>
      <w:footerReference w:type="first" r:id="rId7"/>
      <w:type w:val="nextPage"/>
      <w:pgSz w:w="12240" w:h="15840"/>
      <w:pgMar w:left="1152" w:right="1152" w:gutter="0" w:header="432" w:top="1008" w:footer="360" w:bottom="864"/>
      <w:pgNumType w:fmt="decimal"/>
      <w:formProt w:val="false"/>
      <w:titlePg/>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G Times (WN)">
    <w:charset w:val="00" w:characterSet="windows-1252"/>
    <w:family w:val="roman"/>
    <w:pitch w:val="variable"/>
  </w:font>
  <w:font w:name="Courier New">
    <w:charset w:val="00" w:characterSet="windows-1252"/>
    <w:family w:val="modern"/>
    <w:pitch w:val="default"/>
  </w:font>
  <w:font w:name="Wingdings">
    <w:charset w:val="02"/>
    <w:family w:val="auto"/>
    <w:pitch w:val="variable"/>
  </w:font>
  <w:font w:name="Courier New">
    <w:charset w:val="00" w:characterSet="windows-1252"/>
    <w:family w:val="modern"/>
    <w:pitch w:val="fixed"/>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rPr>
        <w:sz w:val="12"/>
      </w:rPr>
    </w:pPr>
    <w:r>
      <w:rPr>
        <w:sz w:val="12"/>
      </w:rPr>
      <w:fldChar w:fldCharType="begin"/>
    </w:r>
    <w:r>
      <w:rPr>
        <w:sz w:val="12"/>
      </w:rPr>
      <w:instrText xml:space="preserve"> FILENAME \p </w:instrText>
    </w:r>
    <w:r>
      <w:rPr>
        <w:sz w:val="12"/>
      </w:rPr>
      <w:fldChar w:fldCharType="separate"/>
    </w:r>
    <w:r>
      <w:rPr>
        <w:sz w:val="12"/>
      </w:rPr>
      <w:t>/mnt/main-storage/datasets/enron-docs/doc/Litigation_Montly_Report.doc</w:t>
    </w:r>
    <w:r>
      <w:rPr>
        <w:sz w:val="12"/>
      </w:rPr>
      <w:fldChar w:fldCharType="end"/>
    </w:r>
  </w:p>
</w:ftr>
</file>

<file path=word/footer2.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Footer"/>
      <w:tabs>
        <w:tab w:val="clear" w:pos="4320"/>
        <w:tab w:val="clear" w:pos="8640"/>
        <w:tab w:val="left" w:pos="3960" w:leader="none"/>
        <w:tab w:val="right" w:pos="9360" w:leader="none"/>
      </w:tabs>
      <w:rPr>
        <w:b/>
        <w:sz w:val="16"/>
      </w:rPr>
    </w:pPr>
    <w:r>
      <w:rPr>
        <w:b/>
        <w:sz w:val="16"/>
      </w:rPr>
      <w:t>Your Personal Best Makes Enron Best</w:t>
      <w:tab/>
      <w:t>Communicate- Facts Are Friendly</w:t>
      <w:tab/>
      <w:t>Better, Faster, Simpler</w:t>
    </w:r>
  </w:p>
  <w:p>
    <w:pPr>
      <w:pStyle w:val="Footer"/>
      <w:tabs>
        <w:tab w:val="clear" w:pos="4320"/>
        <w:tab w:val="clear" w:pos="8640"/>
        <w:tab w:val="left" w:pos="3960" w:leader="none"/>
        <w:tab w:val="right" w:pos="9360" w:leader="none"/>
      </w:tabs>
      <w:rPr>
        <w:b/>
        <w:sz w:val="12"/>
      </w:rPr>
    </w:pPr>
    <w:r>
      <w:rPr>
        <w:b/>
        <w:sz w:val="12"/>
      </w:rPr>
      <w:fldChar w:fldCharType="begin"/>
    </w:r>
    <w:r>
      <w:rPr>
        <w:sz w:val="12"/>
        <w:b/>
      </w:rPr>
      <w:instrText xml:space="preserve"> FILENAME \p </w:instrText>
    </w:r>
    <w:r>
      <w:rPr>
        <w:sz w:val="12"/>
        <w:b/>
      </w:rPr>
      <w:fldChar w:fldCharType="separate"/>
    </w:r>
    <w:r>
      <w:rPr>
        <w:sz w:val="12"/>
        <w:b/>
      </w:rPr>
      <w:t>/mnt/main-storage/datasets/enron-docs/doc/Litigation_Montly_Report.doc</w:t>
    </w:r>
    <w:r>
      <w:rPr>
        <w:sz w:val="12"/>
        <w:b/>
      </w:rPr>
      <w:fldChar w:fldCharType="end"/>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tabs>
        <w:tab w:val="clear" w:pos="4320"/>
        <w:tab w:val="clear" w:pos="8640"/>
        <w:tab w:val="center" w:pos="4680" w:leader="none"/>
        <w:tab w:val="right" w:pos="9360" w:leader="none"/>
      </w:tabs>
      <w:rPr>
        <w:sz w:val="18"/>
      </w:rPr>
    </w:pPr>
    <w:r>
      <w:rPr>
        <w:sz w:val="18"/>
      </w:rPr>
      <w:t>Memo to Mark Haedicke</w:t>
    </w:r>
  </w:p>
  <w:p>
    <w:pPr>
      <w:pStyle w:val="Header"/>
      <w:tabs>
        <w:tab w:val="clear" w:pos="4320"/>
        <w:tab w:val="clear" w:pos="8640"/>
        <w:tab w:val="center" w:pos="4680" w:leader="none"/>
        <w:tab w:val="right" w:pos="9360" w:leader="none"/>
      </w:tabs>
      <w:rPr>
        <w:sz w:val="18"/>
      </w:rPr>
    </w:pPr>
    <w:r>
      <w:rPr>
        <w:sz w:val="18"/>
      </w:rPr>
      <w:t>April 17, 2001</w:t>
    </w:r>
  </w:p>
  <w:p>
    <w:pPr>
      <w:pStyle w:val="Header"/>
      <w:tabs>
        <w:tab w:val="clear" w:pos="4320"/>
        <w:tab w:val="clear" w:pos="8640"/>
        <w:tab w:val="center" w:pos="4680" w:leader="none"/>
        <w:tab w:val="right" w:pos="9360" w:leader="none"/>
      </w:tabs>
      <w:rPr>
        <w:rStyle w:val="PageNumber"/>
        <w:sz w:val="20"/>
      </w:rPr>
    </w:pPr>
    <w:r>
      <w:rPr>
        <w:sz w:val="18"/>
      </w:rPr>
      <w:t xml:space="preserve">Page </w:t>
    </w:r>
    <w:r>
      <w:rPr>
        <w:rStyle w:val="PageNumber"/>
        <w:sz w:val="20"/>
      </w:rPr>
      <w:fldChar w:fldCharType="begin"/>
    </w:r>
    <w:r>
      <w:rPr>
        <w:rStyle w:val="PageNumber"/>
        <w:sz w:val="20"/>
      </w:rPr>
      <w:instrText xml:space="preserve"> PAGE </w:instrText>
    </w:r>
    <w:r>
      <w:rPr>
        <w:rStyle w:val="PageNumber"/>
        <w:sz w:val="20"/>
      </w:rPr>
      <w:fldChar w:fldCharType="separate"/>
    </w:r>
    <w:r>
      <w:rPr>
        <w:rStyle w:val="PageNumber"/>
        <w:sz w:val="20"/>
      </w:rPr>
      <w:t>8</w:t>
    </w:r>
    <w:r>
      <w:rPr>
        <w:rStyle w:val="PageNumber"/>
        <w:sz w:val="20"/>
      </w:rPr>
      <w:fldChar w:fldCharType="end"/>
    </w:r>
  </w:p>
  <w:p>
    <w:pPr>
      <w:pStyle w:val="Header"/>
      <w:tabs>
        <w:tab w:val="clear" w:pos="4320"/>
        <w:tab w:val="clear" w:pos="8640"/>
        <w:tab w:val="center" w:pos="4680" w:leader="none"/>
        <w:tab w:val="right" w:pos="9360" w:leader="none"/>
      </w:tabs>
      <w:rPr>
        <w:rStyle w:val="PageNumber"/>
        <w:sz w:val="20"/>
      </w:rPr>
    </w:pPr>
    <w:r>
      <w:rPr/>
    </w:r>
  </w:p>
  <w:p>
    <w:pPr>
      <w:pStyle w:val="Header"/>
      <w:tabs>
        <w:tab w:val="clear" w:pos="4320"/>
        <w:tab w:val="clear" w:pos="8640"/>
        <w:tab w:val="center" w:pos="4680" w:leader="none"/>
        <w:tab w:val="right" w:pos="9360" w:leader="none"/>
      </w:tabs>
      <w:rPr>
        <w:sz w:val="20"/>
      </w:rPr>
    </w:pPr>
    <w:r>
      <w:rPr>
        <w:sz w:val="20"/>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Normal"/>
      <w:rPr/>
    </w:pPr>
    <w:r>
      <w:rPr/>
    </w:r>
    <w:r>
      <mc:AlternateContent>
        <mc:Choice Requires="wps">
          <w:drawing>
            <wp:anchor behindDoc="0" distT="0" distB="0" distL="118745" distR="118745" simplePos="0" locked="0" layoutInCell="0" allowOverlap="1" relativeHeight="5">
              <wp:simplePos x="0" y="0"/>
              <wp:positionH relativeFrom="page">
                <wp:posOffset>2556510</wp:posOffset>
              </wp:positionH>
              <wp:positionV relativeFrom="paragraph">
                <wp:posOffset>-354330</wp:posOffset>
              </wp:positionV>
              <wp:extent cx="4420235" cy="704850"/>
              <wp:effectExtent l="0" t="0" r="0" b="0"/>
              <wp:wrapSquare wrapText="bothSides"/>
              <wp:docPr id="5" name="Frame3"/>
              <a:graphic xmlns:a="http://schemas.openxmlformats.org/drawingml/2006/main">
                <a:graphicData uri="http://schemas.microsoft.com/office/word/2010/wordprocessingShape">
                  <wps:wsp>
                    <wps:cNvSpPr txBox="1"/>
                    <wps:spPr>
                      <a:xfrm>
                        <a:off x="0" y="0"/>
                        <a:ext cx="4420235" cy="704850"/>
                      </a:xfrm>
                      <a:prstGeom prst="rect"/>
                      <a:solidFill>
                        <a:srgbClr val="FFFFFF">
                          <a:alpha val="0"/>
                        </a:srgbClr>
                      </a:solidFill>
                    </wps:spPr>
                    <wps:txbx>
                      <w:txbxContent>
                        <w:p>
                          <w:pPr>
                            <w:pStyle w:val="Normal"/>
                            <w:ind w:start="4680" w:end="0"/>
                            <w:rPr>
                              <w:b/>
                              <w:sz w:val="32"/>
                            </w:rPr>
                          </w:pPr>
                          <w:r>
                            <w:rPr>
                              <w:b/>
                              <w:sz w:val="32"/>
                            </w:rPr>
                          </w:r>
                        </w:p>
                        <w:p>
                          <w:pPr>
                            <w:pStyle w:val="Normal"/>
                            <w:ind w:start="4680" w:end="0"/>
                            <w:rPr>
                              <w:b/>
                              <w:sz w:val="32"/>
                            </w:rPr>
                          </w:pPr>
                          <w:r>
                            <w:rPr>
                              <w:b/>
                              <w:sz w:val="32"/>
                            </w:rPr>
                            <w:t>InterofficeMemorandum</w:t>
                          </w:r>
                        </w:p>
                      </w:txbxContent>
                    </wps:txbx>
                    <wps:bodyPr anchor="t" lIns="0" tIns="0" rIns="0" bIns="0">
                      <a:noAutofit/>
                    </wps:bodyPr>
                  </wps:wsp>
                </a:graphicData>
              </a:graphic>
            </wp:anchor>
          </w:drawing>
        </mc:Choice>
        <mc:Fallback>
          <w:pict>
            <v:rect fillcolor="#FFFFFF" style="position:absolute;rotation:-0;width:348.05pt;height:55.5pt;mso-wrap-distance-left:9.35pt;mso-wrap-distance-right:9.35pt;mso-wrap-distance-top:0pt;mso-wrap-distance-bottom:0pt;margin-top:-27.9pt;mso-position-vertical-relative:text;margin-left:201.3pt;mso-position-horizontal-relative:page">
              <v:fill opacity="0f"/>
              <v:textbox inset="0in,0in,0in,0in">
                <w:txbxContent>
                  <w:p>
                    <w:pPr>
                      <w:pStyle w:val="Normal"/>
                      <w:ind w:start="4680" w:end="0"/>
                      <w:rPr>
                        <w:b/>
                        <w:sz w:val="32"/>
                      </w:rPr>
                    </w:pPr>
                    <w:r>
                      <w:rPr>
                        <w:b/>
                        <w:sz w:val="32"/>
                      </w:rPr>
                    </w:r>
                  </w:p>
                  <w:p>
                    <w:pPr>
                      <w:pStyle w:val="Normal"/>
                      <w:ind w:start="4680" w:end="0"/>
                      <w:rPr>
                        <w:b/>
                        <w:sz w:val="32"/>
                      </w:rPr>
                    </w:pPr>
                    <w:r>
                      <w:rPr>
                        <w:b/>
                        <w:sz w:val="32"/>
                      </w:rPr>
                      <w:t>InterofficeMemorandum</w:t>
                    </w:r>
                  </w:p>
                </w:txbxContent>
              </v:textbox>
              <w10:wrap type="squar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pStyle w:val="Heading3"/>
      <w:numFmt w:val="none"/>
      <w:suff w:val="nothing"/>
      <w:lvlText w:val=""/>
      <w:lvlJc w:val="start"/>
      <w:pPr>
        <w:tabs>
          <w:tab w:val="num" w:pos="0"/>
        </w:tabs>
        <w:ind w:start="0" w:hanging="0"/>
      </w:pPr>
    </w:lvl>
    <w:lvl w:ilvl="3">
      <w:start w:val="1"/>
      <w:pStyle w:val="Heading4"/>
      <w:numFmt w:val="none"/>
      <w:suff w:val="nothing"/>
      <w:lvlText w:val=""/>
      <w:lvlJc w:val="start"/>
      <w:pPr>
        <w:tabs>
          <w:tab w:val="num" w:pos="0"/>
        </w:tabs>
        <w:ind w:start="0" w:hanging="0"/>
      </w:pPr>
    </w:lvl>
    <w:lvl w:ilvl="4">
      <w:start w:val="1"/>
      <w:pStyle w:val="Heading5"/>
      <w:numFmt w:val="none"/>
      <w:suff w:val="nothing"/>
      <w:lvlText w:val=""/>
      <w:lvlJc w:val="start"/>
      <w:pPr>
        <w:tabs>
          <w:tab w:val="num" w:pos="0"/>
        </w:tabs>
        <w:ind w:start="0" w:hanging="0"/>
      </w:pPr>
    </w:lvl>
    <w:lvl w:ilvl="5">
      <w:start w:val="1"/>
      <w:pStyle w:val="Heading6"/>
      <w:numFmt w:val="none"/>
      <w:suff w:val="nothing"/>
      <w:lvlText w:val=""/>
      <w:lvlJc w:val="start"/>
      <w:pPr>
        <w:tabs>
          <w:tab w:val="num" w:pos="0"/>
        </w:tabs>
        <w:ind w:start="0" w:hanging="0"/>
      </w:pPr>
    </w:lvl>
    <w:lvl w:ilvl="6">
      <w:start w:val="1"/>
      <w:pStyle w:val="Heading7"/>
      <w:numFmt w:val="none"/>
      <w:suff w:val="nothing"/>
      <w:lvlText w:val=""/>
      <w:lvlJc w:val="start"/>
      <w:pPr>
        <w:tabs>
          <w:tab w:val="num" w:pos="0"/>
        </w:tabs>
        <w:ind w:start="0" w:hanging="0"/>
      </w:pPr>
    </w:lvl>
    <w:lvl w:ilvl="7">
      <w:start w:val="1"/>
      <w:pStyle w:val="Heading8"/>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abstractNum w:abstractNumId="2">
    <w:lvl w:ilvl="0">
      <w:start w:val="1"/>
      <w:numFmt w:val="bullet"/>
      <w:lvlText w:val=""/>
      <w:lvlJc w:val="start"/>
      <w:pPr>
        <w:tabs>
          <w:tab w:val="num" w:pos="720"/>
        </w:tabs>
        <w:ind w:start="720" w:hanging="360"/>
      </w:pPr>
      <w:rPr>
        <w:rFonts w:ascii="Symbol" w:hAnsi="Symbol" w:cs="Symbol" w:hint="default"/>
      </w:rPr>
    </w:lvl>
    <w:lvl w:ilvl="1">
      <w:start w:val="0"/>
      <w:numFmt w:val="bullet"/>
      <w:lvlText w:val="-"/>
      <w:lvlJc w:val="start"/>
      <w:pPr>
        <w:tabs>
          <w:tab w:val="num" w:pos="1440"/>
        </w:tabs>
        <w:ind w:start="1440" w:hanging="360"/>
      </w:pPr>
      <w:rPr>
        <w:rFonts w:ascii="Times New Roman" w:hAnsi="Times New Roman" w:cs="Times New Roman" w:hint="default"/>
        <w:i/>
      </w:rPr>
    </w:lvl>
    <w:lvl w:ilvl="2">
      <w:start w:val="1"/>
      <w:numFmt w:val="bullet"/>
      <w:lvlText w:val=""/>
      <w:lvlJc w:val="start"/>
      <w:pPr>
        <w:tabs>
          <w:tab w:val="num" w:pos="2160"/>
        </w:tabs>
        <w:ind w:start="2160" w:hanging="360"/>
      </w:pPr>
      <w:rPr>
        <w:rFonts w:ascii="Wingdings" w:hAnsi="Wingdings" w:cs="Wingdings" w:hint="default"/>
      </w:rPr>
    </w:lvl>
    <w:lvl w:ilvl="3">
      <w:start w:val="1"/>
      <w:numFmt w:val="bullet"/>
      <w:lvlText w:val=""/>
      <w:lvlJc w:val="start"/>
      <w:pPr>
        <w:tabs>
          <w:tab w:val="num" w:pos="2880"/>
        </w:tabs>
        <w:ind w:start="2880" w:hanging="360"/>
      </w:pPr>
      <w:rPr>
        <w:rFonts w:ascii="Symbol" w:hAnsi="Symbol" w:cs="Symbol" w:hint="default"/>
      </w:rPr>
    </w:lvl>
    <w:lvl w:ilvl="4">
      <w:start w:val="1"/>
      <w:numFmt w:val="bullet"/>
      <w:lvlText w:val="o"/>
      <w:lvlJc w:val="start"/>
      <w:pPr>
        <w:tabs>
          <w:tab w:val="num" w:pos="3600"/>
        </w:tabs>
        <w:ind w:start="3600" w:hanging="360"/>
      </w:pPr>
      <w:rPr>
        <w:rFonts w:ascii="Courier New" w:hAnsi="Courier New" w:cs="Courier New" w:hint="default"/>
      </w:rPr>
    </w:lvl>
    <w:lvl w:ilvl="5">
      <w:start w:val="1"/>
      <w:numFmt w:val="bullet"/>
      <w:lvlText w:val=""/>
      <w:lvlJc w:val="start"/>
      <w:pPr>
        <w:tabs>
          <w:tab w:val="num" w:pos="4320"/>
        </w:tabs>
        <w:ind w:start="4320" w:hanging="360"/>
      </w:pPr>
      <w:rPr>
        <w:rFonts w:ascii="Wingdings" w:hAnsi="Wingdings" w:cs="Wingdings" w:hint="default"/>
      </w:rPr>
    </w:lvl>
    <w:lvl w:ilvl="6">
      <w:start w:val="1"/>
      <w:numFmt w:val="bullet"/>
      <w:lvlText w:val=""/>
      <w:lvlJc w:val="start"/>
      <w:pPr>
        <w:tabs>
          <w:tab w:val="num" w:pos="5040"/>
        </w:tabs>
        <w:ind w:start="5040" w:hanging="360"/>
      </w:pPr>
      <w:rPr>
        <w:rFonts w:ascii="Symbol" w:hAnsi="Symbol" w:cs="Symbol" w:hint="default"/>
      </w:rPr>
    </w:lvl>
    <w:lvl w:ilvl="7">
      <w:start w:val="1"/>
      <w:numFmt w:val="bullet"/>
      <w:lvlText w:val="o"/>
      <w:lvlJc w:val="start"/>
      <w:pPr>
        <w:tabs>
          <w:tab w:val="num" w:pos="5760"/>
        </w:tabs>
        <w:ind w:start="5760" w:hanging="360"/>
      </w:pPr>
      <w:rPr>
        <w:rFonts w:ascii="Courier New" w:hAnsi="Courier New" w:cs="Courier New" w:hint="default"/>
      </w:rPr>
    </w:lvl>
    <w:lvl w:ilvl="8">
      <w:start w:val="1"/>
      <w:numFmt w:val="bullet"/>
      <w:lvlText w:val=""/>
      <w:lvlJc w:val="start"/>
      <w:pPr>
        <w:tabs>
          <w:tab w:val="num" w:pos="6480"/>
        </w:tabs>
        <w:ind w:start="6480" w:hanging="360"/>
      </w:pPr>
      <w:rPr>
        <w:rFonts w:ascii="Wingdings" w:hAnsi="Wingdings" w:cs="Wingdings" w:hint="default"/>
      </w:rPr>
    </w:lvl>
  </w:abstractNum>
  <w:abstractNum w:abstractNumId="3">
    <w:lvl w:ilvl="0">
      <w:start w:val="1"/>
      <w:numFmt w:val="bullet"/>
      <w:lvlText w:val=""/>
      <w:lvlJc w:val="start"/>
      <w:pPr>
        <w:tabs>
          <w:tab w:val="num" w:pos="1440"/>
        </w:tabs>
        <w:ind w:start="1440" w:hanging="360"/>
      </w:pPr>
      <w:rPr>
        <w:rFonts w:ascii="Symbol" w:hAnsi="Symbol" w:cs="Symbol" w:hint="default"/>
      </w:rPr>
    </w:lvl>
  </w:abstractNum>
  <w:abstractNum w:abstractNumId="4">
    <w:lvl w:ilvl="0">
      <w:start w:val="1"/>
      <w:numFmt w:val="bullet"/>
      <w:lvlText w:val=""/>
      <w:lvlJc w:val="start"/>
      <w:pPr>
        <w:tabs>
          <w:tab w:val="num" w:pos="360"/>
        </w:tabs>
        <w:ind w:start="1080" w:hanging="360"/>
      </w:pPr>
      <w:rPr>
        <w:rFonts w:ascii="Symbol" w:hAnsi="Symbol" w:cs="Symbol" w:hint="default"/>
      </w:rPr>
    </w:lvl>
  </w:abstractNum>
  <w:abstractNum w:abstractNumId="5">
    <w:lvl w:ilvl="0">
      <w:numFmt w:val="bullet"/>
      <w:lvlText w:val=""/>
      <w:lvlJc w:val="start"/>
      <w:pPr>
        <w:tabs>
          <w:tab w:val="num" w:pos="360"/>
        </w:tabs>
        <w:ind w:start="1080" w:hanging="360"/>
      </w:pPr>
      <w:rPr>
        <w:rFonts w:ascii="Symbol" w:hAnsi="Symbol" w:cs="Symbol" w:hint="default"/>
      </w:rPr>
    </w:lvl>
  </w:abstractNum>
  <w:num w:numId="1">
    <w:abstractNumId w:val="1"/>
  </w:num>
  <w:num w:numId="2">
    <w:abstractNumId w:val="2"/>
  </w:num>
  <w:num w:numId="3">
    <w:abstractNumId w:val="3"/>
  </w:num>
  <w:num w:numId="4">
    <w:abstractNumId w:val="4"/>
  </w:num>
  <w:num w:numId="5">
    <w:abstractNumId w:val="5"/>
  </w:num>
</w:numbering>
</file>

<file path=word/settings.xml><?xml version="1.0" encoding="utf-8"?>
<w:settings xmlns:w="http://schemas.openxmlformats.org/wordprocessingml/2006/main">
  <w:zoom w:percent="100"/>
  <w:defaultTabStop w:val="720"/>
  <w:autoHyphenation w:val="true"/>
  <w:hyphenationZone w:val="0"/>
  <w:compat>
    <w:usePrinterMetrics/>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tabs>
        <w:tab w:val="clear" w:pos="720"/>
        <w:tab w:val="left" w:pos="540" w:leader="none"/>
      </w:tabs>
      <w:bidi w:val="0"/>
    </w:pPr>
    <w:rPr>
      <w:rFonts w:ascii="Arial" w:hAnsi="Arial" w:eastAsia="Times New Roman" w:cs="Arial"/>
      <w:color w:val="auto"/>
      <w:sz w:val="24"/>
      <w:szCs w:val="20"/>
      <w:lang w:val="en-GB" w:bidi="ar-SA" w:eastAsia="zh-CN"/>
    </w:rPr>
  </w:style>
  <w:style w:type="paragraph" w:styleId="Heading1">
    <w:name w:val="heading 1"/>
    <w:basedOn w:val="Normal"/>
    <w:next w:val="Normal"/>
    <w:qFormat/>
    <w:pPr>
      <w:keepNext w:val="true"/>
      <w:keepLines/>
      <w:numPr>
        <w:ilvl w:val="0"/>
        <w:numId w:val="1"/>
      </w:numPr>
      <w:jc w:val="both"/>
      <w:outlineLvl w:val="0"/>
    </w:pPr>
    <w:rPr>
      <w:i/>
      <w:sz w:val="20"/>
      <w:u w:val="single"/>
    </w:rPr>
  </w:style>
  <w:style w:type="paragraph" w:styleId="Heading2">
    <w:name w:val="heading 2"/>
    <w:basedOn w:val="Normal"/>
    <w:next w:val="Normal"/>
    <w:qFormat/>
    <w:pPr>
      <w:keepNext w:val="true"/>
      <w:numPr>
        <w:ilvl w:val="1"/>
        <w:numId w:val="1"/>
      </w:numPr>
      <w:jc w:val="both"/>
      <w:outlineLvl w:val="1"/>
    </w:pPr>
    <w:rPr>
      <w:b/>
      <w:i/>
      <w:sz w:val="20"/>
      <w:u w:val="single"/>
    </w:rPr>
  </w:style>
  <w:style w:type="paragraph" w:styleId="Heading3">
    <w:name w:val="heading 3"/>
    <w:basedOn w:val="Normal"/>
    <w:next w:val="NormalIndent"/>
    <w:qFormat/>
    <w:pPr>
      <w:numPr>
        <w:ilvl w:val="2"/>
        <w:numId w:val="1"/>
      </w:numPr>
      <w:ind w:hanging="0" w:start="360" w:end="0"/>
      <w:outlineLvl w:val="2"/>
    </w:pPr>
    <w:rPr>
      <w:rFonts w:ascii="CG Times (WN)" w:hAnsi="CG Times (WN)" w:cs="CG Times (WN)"/>
      <w:b/>
    </w:rPr>
  </w:style>
  <w:style w:type="paragraph" w:styleId="Heading4">
    <w:name w:val="heading 4"/>
    <w:basedOn w:val="Normal"/>
    <w:next w:val="Normal"/>
    <w:qFormat/>
    <w:pPr>
      <w:keepNext w:val="true"/>
      <w:numPr>
        <w:ilvl w:val="3"/>
        <w:numId w:val="1"/>
      </w:numPr>
      <w:outlineLvl w:val="3"/>
    </w:pPr>
    <w:rPr>
      <w:i/>
      <w:sz w:val="20"/>
      <w:u w:val="single"/>
    </w:rPr>
  </w:style>
  <w:style w:type="paragraph" w:styleId="Heading5">
    <w:name w:val="heading 5"/>
    <w:basedOn w:val="Normal"/>
    <w:next w:val="Normal"/>
    <w:qFormat/>
    <w:pPr>
      <w:keepNext w:val="true"/>
      <w:numPr>
        <w:ilvl w:val="4"/>
        <w:numId w:val="1"/>
      </w:numPr>
      <w:outlineLvl w:val="4"/>
    </w:pPr>
    <w:rPr>
      <w:b/>
      <w:sz w:val="23"/>
      <w:u w:val="single"/>
    </w:rPr>
  </w:style>
  <w:style w:type="paragraph" w:styleId="Heading6">
    <w:name w:val="heading 6"/>
    <w:basedOn w:val="Normal"/>
    <w:next w:val="Normal"/>
    <w:qFormat/>
    <w:pPr>
      <w:keepNext w:val="true"/>
      <w:numPr>
        <w:ilvl w:val="5"/>
        <w:numId w:val="1"/>
      </w:numPr>
      <w:outlineLvl w:val="5"/>
    </w:pPr>
    <w:rPr>
      <w:i/>
      <w:sz w:val="20"/>
    </w:rPr>
  </w:style>
  <w:style w:type="paragraph" w:styleId="Heading7">
    <w:name w:val="heading 7"/>
    <w:basedOn w:val="Normal"/>
    <w:next w:val="Normal"/>
    <w:qFormat/>
    <w:pPr>
      <w:keepNext w:val="true"/>
      <w:numPr>
        <w:ilvl w:val="6"/>
        <w:numId w:val="1"/>
      </w:numPr>
      <w:jc w:val="both"/>
      <w:outlineLvl w:val="6"/>
    </w:pPr>
    <w:rPr>
      <w:bCs/>
      <w:i/>
      <w:sz w:val="22"/>
      <w:u w:val="single"/>
    </w:rPr>
  </w:style>
  <w:style w:type="paragraph" w:styleId="Heading8">
    <w:name w:val="heading 8"/>
    <w:basedOn w:val="Normal"/>
    <w:next w:val="Normal"/>
    <w:qFormat/>
    <w:pPr>
      <w:keepNext w:val="true"/>
      <w:numPr>
        <w:ilvl w:val="7"/>
        <w:numId w:val="1"/>
      </w:numPr>
      <w:jc w:val="both"/>
      <w:outlineLvl w:val="7"/>
    </w:pPr>
    <w:rPr>
      <w:bCs/>
      <w:i/>
      <w:sz w:val="23"/>
      <w:u w:val="single"/>
    </w:rPr>
  </w:style>
  <w:style w:type="character" w:styleId="WW8Num2z0">
    <w:name w:val="WW8Num2z0"/>
    <w:qFormat/>
    <w:rPr>
      <w:rFonts w:ascii="Symbol" w:hAnsi="Symbol" w:cs="Symbol"/>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WW8Num4z0">
    <w:name w:val="WW8Num4z0"/>
    <w:qFormat/>
    <w:rPr>
      <w:rFonts w:ascii="Symbol" w:hAnsi="Symbol" w:cs="Symbol"/>
    </w:rPr>
  </w:style>
  <w:style w:type="character" w:styleId="WW8Num5z0">
    <w:name w:val="WW8Num5z0"/>
    <w:qFormat/>
    <w:rPr>
      <w:rFonts w:ascii="Symbol" w:hAnsi="Symbol" w:cs="Symbol"/>
    </w:rPr>
  </w:style>
  <w:style w:type="character" w:styleId="WW8Num5z1">
    <w:name w:val="WW8Num5z1"/>
    <w:qFormat/>
    <w:rPr>
      <w:rFonts w:ascii="Times New Roman" w:hAnsi="Times New Roman" w:eastAsia="Times New Roman" w:cs="Times New Roman"/>
      <w:i/>
    </w:rPr>
  </w:style>
  <w:style w:type="character" w:styleId="WW8Num5z2">
    <w:name w:val="WW8Num5z2"/>
    <w:qFormat/>
    <w:rPr>
      <w:rFonts w:ascii="Wingdings" w:hAnsi="Wingdings" w:cs="Wingdings"/>
    </w:rPr>
  </w:style>
  <w:style w:type="character" w:styleId="WW8Num5z4">
    <w:name w:val="WW8Num5z4"/>
    <w:qFormat/>
    <w:rPr>
      <w:rFonts w:ascii="Courier New" w:hAnsi="Courier New" w:cs="Courier New"/>
    </w:rPr>
  </w:style>
  <w:style w:type="character" w:styleId="WW8Num6z0">
    <w:name w:val="WW8Num6z0"/>
    <w:qFormat/>
    <w:rPr>
      <w:rFonts w:ascii="Symbol" w:hAnsi="Symbol" w:cs="Symbol"/>
    </w:rPr>
  </w:style>
  <w:style w:type="character" w:styleId="WW8Num7z0">
    <w:name w:val="WW8Num7z0"/>
    <w:qFormat/>
    <w:rPr>
      <w:rFonts w:ascii="Wingdings" w:hAnsi="Wingdings" w:cs="Wingdings"/>
      <w:sz w:val="20"/>
    </w:rPr>
  </w:style>
  <w:style w:type="character" w:styleId="WW8Num8z0">
    <w:name w:val="WW8Num8z0"/>
    <w:qFormat/>
    <w:rPr>
      <w:rFonts w:ascii="Symbol" w:hAnsi="Symbol" w:cs="Symbol"/>
    </w:rPr>
  </w:style>
  <w:style w:type="character" w:styleId="WW8Num8z1">
    <w:name w:val="WW8Num8z1"/>
    <w:qFormat/>
    <w:rPr>
      <w:rFonts w:ascii="Courier New" w:hAnsi="Courier New" w:cs="Courier New"/>
    </w:rPr>
  </w:style>
  <w:style w:type="character" w:styleId="WW8Num8z2">
    <w:name w:val="WW8Num8z2"/>
    <w:qFormat/>
    <w:rPr>
      <w:rFonts w:ascii="Wingdings" w:hAnsi="Wingdings" w:cs="Wingdings"/>
    </w:rPr>
  </w:style>
  <w:style w:type="character" w:styleId="WW8Num9z0">
    <w:name w:val="WW8Num9z0"/>
    <w:qFormat/>
    <w:rPr>
      <w:rFonts w:ascii="Wingdings" w:hAnsi="Wingdings" w:cs="Wingdings"/>
    </w:rPr>
  </w:style>
  <w:style w:type="character" w:styleId="WW8Num10z0">
    <w:name w:val="WW8Num10z0"/>
    <w:qFormat/>
    <w:rPr>
      <w:rFonts w:ascii="Symbol" w:hAnsi="Symbol" w:cs="Symbol"/>
    </w:rPr>
  </w:style>
  <w:style w:type="character" w:styleId="WW8Num11z0">
    <w:name w:val="WW8Num11z0"/>
    <w:qFormat/>
    <w:rPr>
      <w:rFonts w:ascii="Wingdings" w:hAnsi="Wingdings" w:cs="Wingdings"/>
      <w:sz w:val="20"/>
    </w:rPr>
  </w:style>
  <w:style w:type="character" w:styleId="WW8Num12z0">
    <w:name w:val="WW8Num12z0"/>
    <w:qFormat/>
    <w:rPr>
      <w:rFonts w:ascii="Wingdings" w:hAnsi="Wingdings" w:cs="Wingdings"/>
      <w:sz w:val="20"/>
    </w:rPr>
  </w:style>
  <w:style w:type="character" w:styleId="WW8NumSt1z0">
    <w:name w:val="WW8NumSt1z0"/>
    <w:qFormat/>
    <w:rPr>
      <w:rFonts w:ascii="Symbol" w:hAnsi="Symbol" w:cs="Symbol"/>
    </w:rPr>
  </w:style>
  <w:style w:type="character" w:styleId="DefaultParagraphFont">
    <w:name w:val="Default Paragraph Font"/>
    <w:qFormat/>
    <w:rPr/>
  </w:style>
  <w:style w:type="character" w:styleId="PageNumber">
    <w:name w:val="page number"/>
    <w:basedOn w:val="DefaultParagraphFont"/>
    <w:rPr/>
  </w:style>
  <w:style w:type="paragraph" w:styleId="Heading">
    <w:name w:val="Heading"/>
    <w:basedOn w:val="Normal"/>
    <w:next w:val="BodyText"/>
    <w:qFormat/>
    <w:pPr>
      <w:tabs>
        <w:tab w:val="clear" w:pos="540"/>
      </w:tabs>
    </w:pPr>
    <w:rPr>
      <w:b/>
    </w:rPr>
  </w:style>
  <w:style w:type="paragraph" w:styleId="BodyText">
    <w:name w:val="Body Text"/>
    <w:basedOn w:val="Normal"/>
    <w:pPr>
      <w:tabs>
        <w:tab w:val="left" w:pos="540" w:leader="none"/>
        <w:tab w:val="left" w:pos="1080" w:leader="none"/>
      </w:tabs>
      <w:jc w:val="both"/>
    </w:pPr>
    <w:rPr>
      <w:b/>
      <w:bCs/>
      <w:sz w:val="23"/>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NormalIndent">
    <w:name w:val="Normal Indent"/>
    <w:basedOn w:val="Normal"/>
    <w:qFormat/>
    <w:pPr>
      <w:ind w:hanging="0" w:start="720" w:end="0"/>
    </w:pPr>
    <w:rPr/>
  </w:style>
  <w:style w:type="paragraph" w:styleId="HeaderandFooter">
    <w:name w:val="Header and Footer"/>
    <w:basedOn w:val="Normal"/>
    <w:qFormat/>
    <w:pPr>
      <w:suppressLineNumbers/>
      <w:tabs>
        <w:tab w:val="clear" w:pos="540"/>
        <w:tab w:val="center" w:pos="4986" w:leader="none"/>
        <w:tab w:val="right" w:pos="9972" w:leader="none"/>
      </w:tabs>
    </w:pPr>
    <w:rPr/>
  </w:style>
  <w:style w:type="paragraph" w:styleId="Footer">
    <w:name w:val="footer"/>
    <w:basedOn w:val="Normal"/>
    <w:pPr>
      <w:tabs>
        <w:tab w:val="clear" w:pos="540"/>
        <w:tab w:val="center" w:pos="4320" w:leader="none"/>
        <w:tab w:val="right" w:pos="8640" w:leader="none"/>
      </w:tabs>
    </w:pPr>
    <w:rPr/>
  </w:style>
  <w:style w:type="paragraph" w:styleId="Header">
    <w:name w:val="header"/>
    <w:basedOn w:val="Normal"/>
    <w:pPr>
      <w:tabs>
        <w:tab w:val="clear" w:pos="540"/>
        <w:tab w:val="center" w:pos="4320" w:leader="none"/>
        <w:tab w:val="right" w:pos="8640" w:leader="none"/>
      </w:tabs>
    </w:pPr>
    <w:rPr/>
  </w:style>
  <w:style w:type="paragraph" w:styleId="Subject">
    <w:name w:val="Subject"/>
    <w:basedOn w:val="Normal"/>
    <w:qFormat/>
    <w:pPr>
      <w:tabs>
        <w:tab w:val="clear" w:pos="540"/>
      </w:tabs>
    </w:pPr>
    <w:rPr>
      <w:sz w:val="20"/>
    </w:rPr>
  </w:style>
  <w:style w:type="paragraph" w:styleId="Date">
    <w:name w:val="Date"/>
    <w:basedOn w:val="Normal"/>
    <w:qFormat/>
    <w:pPr>
      <w:tabs>
        <w:tab w:val="clear" w:pos="540"/>
      </w:tabs>
    </w:pPr>
    <w:rPr>
      <w:sz w:val="20"/>
    </w:rPr>
  </w:style>
  <w:style w:type="paragraph" w:styleId="To">
    <w:name w:val="To"/>
    <w:basedOn w:val="Normal"/>
    <w:qFormat/>
    <w:pPr>
      <w:tabs>
        <w:tab w:val="clear" w:pos="540"/>
      </w:tabs>
    </w:pPr>
    <w:rPr>
      <w:sz w:val="20"/>
    </w:rPr>
  </w:style>
  <w:style w:type="paragraph" w:styleId="From">
    <w:name w:val="From"/>
    <w:basedOn w:val="Normal"/>
    <w:qFormat/>
    <w:pPr>
      <w:tabs>
        <w:tab w:val="clear" w:pos="540"/>
      </w:tabs>
    </w:pPr>
    <w:rPr>
      <w:sz w:val="20"/>
    </w:rPr>
  </w:style>
  <w:style w:type="paragraph" w:styleId="CopyList">
    <w:name w:val="CopyList"/>
    <w:basedOn w:val="Normal"/>
    <w:qFormat/>
    <w:pPr>
      <w:tabs>
        <w:tab w:val="clear" w:pos="540"/>
        <w:tab w:val="left" w:pos="504" w:leader="none"/>
      </w:tabs>
      <w:spacing w:before="360" w:after="0"/>
      <w:ind w:hanging="504" w:start="576" w:end="0"/>
    </w:pPr>
    <w:rPr>
      <w:sz w:val="20"/>
    </w:rPr>
  </w:style>
  <w:style w:type="paragraph" w:styleId="Body">
    <w:name w:val="Body"/>
    <w:basedOn w:val="Normal"/>
    <w:qFormat/>
    <w:pPr>
      <w:tabs>
        <w:tab w:val="clear" w:pos="540"/>
      </w:tabs>
      <w:ind w:hanging="0" w:start="72" w:end="0"/>
    </w:pPr>
    <w:rPr>
      <w:color w:val="000080"/>
      <w:sz w:val="20"/>
    </w:rPr>
  </w:style>
  <w:style w:type="paragraph" w:styleId="Department">
    <w:name w:val="Department"/>
    <w:basedOn w:val="Normal"/>
    <w:qFormat/>
    <w:pPr>
      <w:tabs>
        <w:tab w:val="clear" w:pos="540"/>
      </w:tabs>
    </w:pPr>
    <w:rPr>
      <w:sz w:val="20"/>
    </w:rPr>
  </w:style>
  <w:style w:type="paragraph" w:styleId="BodyTextIndent">
    <w:name w:val="Body Text Indent"/>
    <w:basedOn w:val="Normal"/>
    <w:pPr>
      <w:ind w:hanging="720" w:start="1440" w:end="0"/>
      <w:jc w:val="both"/>
    </w:pPr>
    <w:rPr>
      <w:sz w:val="20"/>
    </w:rPr>
  </w:style>
  <w:style w:type="paragraph" w:styleId="BodyTextIndent2">
    <w:name w:val="Body Text Indent 2"/>
    <w:basedOn w:val="Normal"/>
    <w:qFormat/>
    <w:pPr>
      <w:tabs>
        <w:tab w:val="clear" w:pos="540"/>
        <w:tab w:val="left" w:pos="720" w:leader="none"/>
        <w:tab w:val="left" w:pos="1080" w:leader="none"/>
      </w:tabs>
      <w:ind w:hanging="1080" w:start="1080" w:end="0"/>
    </w:pPr>
    <w:rPr>
      <w:rFonts w:cs="Arial"/>
      <w:b/>
      <w:bCs/>
      <w:sz w:val="22"/>
    </w:rPr>
  </w:style>
  <w:style w:type="paragraph" w:styleId="FrameContents">
    <w:name w:val="Frame Contents"/>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 w:type="numbering" w:styleId="WW8Num5">
    <w:name w:val="WW8Num5"/>
    <w:qFormat/>
  </w:style>
  <w:style w:type="numbering" w:styleId="WW8Num6">
    <w:name w:val="WW8Num6"/>
    <w:qFormat/>
  </w:style>
  <w:style w:type="numbering" w:styleId="WW8Num7">
    <w:name w:val="WW8Num7"/>
    <w:qFormat/>
  </w:style>
  <w:style w:type="numbering" w:styleId="WW8Num8">
    <w:name w:val="WW8Num8"/>
    <w:qFormat/>
  </w:style>
  <w:style w:type="numbering" w:styleId="WW8Num9">
    <w:name w:val="WW8Num9"/>
    <w:qFormat/>
  </w:style>
  <w:style w:type="numbering" w:styleId="WW8Num10">
    <w:name w:val="WW8Num10"/>
    <w:qFormat/>
  </w:style>
  <w:style w:type="numbering" w:styleId="WW8Num11">
    <w:name w:val="WW8Num11"/>
    <w:qFormat/>
  </w:style>
  <w:style w:type="numbering" w:styleId="WW8Num12">
    <w:name w:val="WW8Num12"/>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image" Target="media/image1.png"/><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footer" Target="footer1.xml"/><Relationship Id="rId7" Type="http://schemas.openxmlformats.org/officeDocument/2006/relationships/footer" Target="footer2.xml"/><Relationship Id="rId8" Type="http://schemas.openxmlformats.org/officeDocument/2006/relationships/numbering" Target="numbering.xml"/><Relationship Id="rId9" Type="http://schemas.openxmlformats.org/officeDocument/2006/relationships/fontTable" Target="fontTable.xml"/><Relationship Id="rId10" Type="http://schemas.openxmlformats.org/officeDocument/2006/relationships/settings" Target="settings.xml"/><Relationship Id="rId11"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1</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2001-04-17T21:48:00Z</dcterms:created>
  <dc:creator>Enron</dc:creator>
  <dc:description/>
  <dc:language>en-CA</dc:language>
  <cp:lastModifiedBy>jelbert</cp:lastModifiedBy>
  <cp:lastPrinted>2001-04-17T15:40:00Z</cp:lastPrinted>
  <dcterms:modified xsi:type="dcterms:W3CDTF">2001-04-17T21:48:00Z</dcterms:modified>
  <cp:revision>2</cp:revision>
  <dc:subject/>
  <dc:title> </dc:title>
</cp:coreProperties>
</file>