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25pt;height:78.7pt" filled="f" o:ole="">
            <v:imagedata r:id="rId3" o:title=""/>
          </v:shape>
          <o:OLEObject Type="Embed" ProgID="" ShapeID="ole_rId2" DrawAspect="Content" ObjectID="_806715782" r:id="rId2"/>
        </w:object>
      </w:r>
    </w:p>
    <w:p>
      <w:pPr>
        <w:pStyle w:val="Heading1"/>
        <w:jc w:val="center"/>
        <w:rPr>
          <w:rFonts w:ascii="Times New Roman" w:hAnsi="Times New Roman" w:cs="Times New Roman"/>
          <w:b/>
        </w:rPr>
      </w:pPr>
      <w:r>
        <w:rPr>
          <w:rFonts w:cs="Times New Roman" w:ascii="Times New Roman" w:hAnsi="Times New Roman"/>
          <w:b/>
        </w:rPr>
      </w:r>
    </w:p>
    <w:p>
      <w:pPr>
        <w:pStyle w:val="Heading1"/>
        <w:jc w:val="center"/>
        <w:rPr>
          <w:rFonts w:ascii="Times New Roman" w:hAnsi="Times New Roman" w:cs="Times New Roman"/>
          <w:b/>
        </w:rPr>
      </w:pPr>
      <w:r>
        <w:rPr>
          <w:rFonts w:cs="Times New Roman" w:ascii="Times New Roman" w:hAnsi="Times New Roman"/>
          <w:b/>
        </w:rPr>
        <w:t>INTEROFFICE MEMORANDUM</w:t>
      </w:r>
    </w:p>
    <w:p>
      <w:pPr>
        <w:pStyle w:val="Normal"/>
        <w:rPr>
          <w:rFonts w:ascii="Times New Roman" w:hAnsi="Times New Roman" w:cs="Times New Roman"/>
          <w:b/>
        </w:rPr>
      </w:pPr>
      <w:r>
        <w:rPr>
          <w:rFonts w:cs="Times New Roman"/>
          <w:b/>
        </w:rPr>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8856"/>
        <w:gridCol w:w="612"/>
      </w:tblGrid>
      <w:tr>
        <w:trPr/>
        <w:tc>
          <w:tcPr>
            <w:tcW w:w="8856" w:type="dxa"/>
            <w:tcBorders/>
          </w:tcPr>
          <w:p>
            <w:pPr>
              <w:pStyle w:val="Normal"/>
              <w:tabs>
                <w:tab w:val="clear" w:pos="720"/>
                <w:tab w:val="left" w:pos="1440" w:leader="none"/>
              </w:tabs>
              <w:rPr>
                <w:sz w:val="24"/>
              </w:rPr>
            </w:pPr>
            <w:r>
              <w:rPr>
                <w:sz w:val="24"/>
              </w:rPr>
              <w:t>To:</w:t>
              <w:tab/>
              <w:t>Rob Walls</w:t>
            </w:r>
          </w:p>
        </w:tc>
        <w:tc>
          <w:tcPr>
            <w:tcW w:w="612" w:type="dxa"/>
            <w:tcBorders/>
            <w:tcMar>
              <w:start w:w="0" w:type="dxa"/>
              <w:end w:w="0" w:type="dxa"/>
            </w:tcMar>
          </w:tcPr>
          <w:p>
            <w:pPr>
              <w:pStyle w:val="Normal"/>
              <w:snapToGrid w:val="false"/>
              <w:rPr>
                <w:sz w:val="24"/>
              </w:rPr>
            </w:pPr>
            <w:r>
              <w:rPr>
                <w:sz w:val="24"/>
              </w:rPr>
            </w:r>
          </w:p>
        </w:tc>
      </w:tr>
      <w:tr>
        <w:trPr/>
        <w:tc>
          <w:tcPr>
            <w:tcW w:w="8856" w:type="dxa"/>
            <w:tcBorders/>
          </w:tcPr>
          <w:p>
            <w:pPr>
              <w:pStyle w:val="Normal"/>
              <w:tabs>
                <w:tab w:val="clear" w:pos="720"/>
                <w:tab w:val="left" w:pos="1440" w:leader="none"/>
              </w:tabs>
              <w:rPr>
                <w:sz w:val="24"/>
              </w:rPr>
            </w:pPr>
            <w:r>
              <w:rPr>
                <w:sz w:val="24"/>
              </w:rPr>
              <w:t>From:</w:t>
              <w:tab/>
              <w:t>Michelle Blaine</w:t>
            </w:r>
          </w:p>
        </w:tc>
        <w:tc>
          <w:tcPr>
            <w:tcW w:w="612" w:type="dxa"/>
            <w:tcBorders/>
            <w:tcMar>
              <w:start w:w="0" w:type="dxa"/>
              <w:end w:w="0" w:type="dxa"/>
            </w:tcMar>
          </w:tcPr>
          <w:p>
            <w:pPr>
              <w:pStyle w:val="Normal"/>
              <w:snapToGrid w:val="false"/>
              <w:rPr>
                <w:sz w:val="24"/>
              </w:rPr>
            </w:pPr>
            <w:r>
              <w:rPr>
                <w:sz w:val="24"/>
              </w:rPr>
            </w:r>
          </w:p>
        </w:tc>
      </w:tr>
      <w:tr>
        <w:trPr/>
        <w:tc>
          <w:tcPr>
            <w:tcW w:w="8856" w:type="dxa"/>
            <w:tcBorders/>
          </w:tcPr>
          <w:p>
            <w:pPr>
              <w:pStyle w:val="Normal"/>
              <w:tabs>
                <w:tab w:val="clear" w:pos="720"/>
                <w:tab w:val="left" w:pos="1440" w:leader="none"/>
              </w:tabs>
              <w:rPr>
                <w:sz w:val="24"/>
              </w:rPr>
            </w:pPr>
            <w:r>
              <w:rPr>
                <w:sz w:val="24"/>
              </w:rPr>
              <w:t>CC:</w:t>
              <w:tab/>
              <w:t>Chip Schneider, David Shields</w:t>
            </w:r>
          </w:p>
        </w:tc>
        <w:tc>
          <w:tcPr>
            <w:tcW w:w="612" w:type="dxa"/>
            <w:tcBorders/>
            <w:tcMar>
              <w:start w:w="0" w:type="dxa"/>
              <w:end w:w="0" w:type="dxa"/>
            </w:tcMar>
          </w:tcPr>
          <w:p>
            <w:pPr>
              <w:pStyle w:val="Normal"/>
              <w:snapToGrid w:val="false"/>
              <w:rPr>
                <w:sz w:val="24"/>
              </w:rPr>
            </w:pPr>
            <w:r>
              <w:rPr>
                <w:sz w:val="24"/>
              </w:rPr>
            </w:r>
          </w:p>
        </w:tc>
      </w:tr>
      <w:tr>
        <w:trPr/>
        <w:tc>
          <w:tcPr>
            <w:tcW w:w="8856" w:type="dxa"/>
            <w:tcBorders/>
          </w:tcPr>
          <w:p>
            <w:pPr>
              <w:pStyle w:val="Normal"/>
              <w:tabs>
                <w:tab w:val="clear" w:pos="720"/>
                <w:tab w:val="left" w:pos="1440" w:leader="none"/>
              </w:tabs>
              <w:rPr>
                <w:sz w:val="24"/>
              </w:rPr>
            </w:pPr>
            <w:r>
              <w:rPr>
                <w:sz w:val="24"/>
              </w:rPr>
              <w:t>Date:</w:t>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tc>
        <w:tc>
          <w:tcPr>
            <w:tcW w:w="612" w:type="dxa"/>
            <w:tcBorders/>
            <w:tcMar>
              <w:start w:w="0" w:type="dxa"/>
              <w:end w:w="0" w:type="dxa"/>
            </w:tcMar>
          </w:tcPr>
          <w:p>
            <w:pPr>
              <w:pStyle w:val="Normal"/>
              <w:snapToGrid w:val="false"/>
              <w:rPr>
                <w:sz w:val="24"/>
              </w:rPr>
            </w:pPr>
            <w:r>
              <w:rPr>
                <w:sz w:val="24"/>
              </w:rPr>
            </w:r>
          </w:p>
        </w:tc>
      </w:tr>
      <w:tr>
        <w:trPr/>
        <w:tc>
          <w:tcPr>
            <w:tcW w:w="8856" w:type="dxa"/>
            <w:tcBorders/>
          </w:tcPr>
          <w:p>
            <w:pPr>
              <w:pStyle w:val="Heading3"/>
              <w:ind w:hanging="0" w:start="0"/>
              <w:rPr>
                <w:rFonts w:ascii="Times New Roman" w:hAnsi="Times New Roman" w:cs="Times New Roman"/>
              </w:rPr>
            </w:pPr>
            <w:r>
              <w:rPr>
                <w:rFonts w:cs="Times New Roman" w:ascii="Times New Roman" w:hAnsi="Times New Roman"/>
              </w:rPr>
              <w:t>Re:</w:t>
              <w:tab/>
              <w:t>Litigation Assessment in Support of Enron Guaranty</w:t>
            </w:r>
          </w:p>
        </w:tc>
        <w:tc>
          <w:tcPr>
            <w:tcW w:w="612" w:type="dxa"/>
            <w:tcBorders/>
            <w:tcMar>
              <w:start w:w="0" w:type="dxa"/>
              <w:end w:w="0" w:type="dxa"/>
            </w:tcMar>
          </w:tcPr>
          <w:p>
            <w:pPr>
              <w:pStyle w:val="Normal"/>
              <w:snapToGrid w:val="false"/>
              <w:rPr>
                <w:rFonts w:ascii="Times New Roman" w:hAnsi="Times New Roman" w:cs="Times New Roman"/>
                <w:sz w:val="24"/>
              </w:rPr>
            </w:pPr>
            <w:r>
              <w:rPr>
                <w:rFonts w:cs="Times New Roman"/>
                <w:sz w:val="24"/>
              </w:rPr>
            </w:r>
          </w:p>
        </w:tc>
      </w:tr>
      <w:tr>
        <w:trPr/>
        <w:tc>
          <w:tcPr>
            <w:tcW w:w="9468" w:type="dxa"/>
            <w:gridSpan w:val="2"/>
            <w:tcBorders/>
          </w:tcPr>
          <w:p>
            <w:pPr>
              <w:pStyle w:val="Normal"/>
              <w:snapToGrid w:val="false"/>
              <w:jc w:val="both"/>
              <w:rPr>
                <w:sz w:val="24"/>
                <w:u w:val="single"/>
              </w:rPr>
            </w:pPr>
            <w:r>
              <w:rPr>
                <w:sz w:val="24"/>
                <w:u w:val="single"/>
              </w:rPr>
            </w:r>
          </w:p>
        </w:tc>
      </w:tr>
    </w:tbl>
    <w:p>
      <w:pPr>
        <w:pStyle w:val="Normal"/>
        <w:jc w:val="both"/>
        <w:rPr>
          <w:u w:val="single"/>
        </w:rPr>
      </w:pPr>
      <w:r>
        <w:rPr>
          <w:u w:val="single"/>
        </w:rPr>
        <w:tab/>
        <w:tab/>
        <w:tab/>
        <w:tab/>
        <w:tab/>
        <w:tab/>
        <w:tab/>
        <w:tab/>
        <w:tab/>
        <w:tab/>
        <w:tab/>
        <w:tab/>
        <w:tab/>
      </w:r>
    </w:p>
    <w:p>
      <w:pPr>
        <w:pStyle w:val="Footer"/>
        <w:tabs>
          <w:tab w:val="clear" w:pos="4320"/>
          <w:tab w:val="clear" w:pos="8640"/>
        </w:tabs>
        <w:rPr/>
      </w:pPr>
      <w:r>
        <w:rPr/>
      </w:r>
    </w:p>
    <w:p>
      <w:pPr>
        <w:pStyle w:val="BodyText2"/>
        <w:ind w:firstLine="720" w:end="0"/>
        <w:jc w:val="both"/>
        <w:rPr/>
      </w:pPr>
      <w:r>
        <w:rPr/>
        <w:t>Rob, the litigation group supports the issuance of an Enron guaranty in connection with the settlement agreement whereby Raytheon and Foster Wheeler agree to replace the existing boilers at SECLP’s Puerta Plata plant in exchange for certain releases from liability.  This guaranty is requested because of Don Smith’s failure to sign the settlement agreement.  The guaranty protects Raytheon and Foster Wheeler in the unlikely event that Don Smith pursues a successful third party claim against Raytheon and Foster Wheeler resulting from the operations of the plant.  The following analysis sets forth the reasons that a successful claim by Don Smith, which would trigger the guaranty, is remote.</w:t>
      </w:r>
    </w:p>
    <w:p>
      <w:pPr>
        <w:pStyle w:val="Normal"/>
        <w:jc w:val="both"/>
        <w:rPr>
          <w:sz w:val="24"/>
        </w:rPr>
      </w:pPr>
      <w:r>
        <w:rPr>
          <w:sz w:val="24"/>
        </w:rPr>
      </w:r>
    </w:p>
    <w:p>
      <w:pPr>
        <w:pStyle w:val="Heading1"/>
        <w:ind w:start="0" w:end="0"/>
        <w:jc w:val="center"/>
        <w:rPr>
          <w:rFonts w:ascii="Times New Roman" w:hAnsi="Times New Roman" w:cs="Times New Roman"/>
          <w:b/>
          <w:i/>
          <w:i/>
        </w:rPr>
      </w:pPr>
      <w:r>
        <w:rPr>
          <w:rFonts w:cs="Times New Roman" w:ascii="Times New Roman" w:hAnsi="Times New Roman"/>
          <w:b/>
          <w:i/>
        </w:rPr>
        <w:t>Confidential Attorney Work Product/Attorney-Client Privileged Communication</w:t>
      </w:r>
    </w:p>
    <w:p>
      <w:pPr>
        <w:pStyle w:val="Normal"/>
        <w:rPr>
          <w:rFonts w:ascii="Times New Roman" w:hAnsi="Times New Roman" w:cs="Times New Roman"/>
          <w:b/>
          <w:i/>
          <w:i/>
          <w:sz w:val="24"/>
        </w:rPr>
      </w:pPr>
      <w:r>
        <w:rPr>
          <w:rFonts w:cs="Times New Roman"/>
          <w:b/>
          <w:i/>
          <w:sz w:val="24"/>
        </w:rPr>
      </w:r>
    </w:p>
    <w:p>
      <w:pPr>
        <w:pStyle w:val="Normal"/>
        <w:ind w:start="360" w:end="0"/>
        <w:jc w:val="both"/>
        <w:rPr>
          <w:color w:val="000000"/>
          <w:sz w:val="24"/>
          <w:u w:val="single"/>
          <w:lang w:eastAsia="en-US"/>
        </w:rPr>
      </w:pPr>
      <w:r>
        <w:rPr>
          <w:color w:val="000000"/>
          <w:sz w:val="24"/>
          <w:u w:val="single"/>
          <w:lang w:eastAsia="en-US"/>
        </w:rPr>
        <w:t>1.</w:t>
        <w:tab/>
        <w:t>Background.</w:t>
      </w:r>
    </w:p>
    <w:p>
      <w:pPr>
        <w:pStyle w:val="BodyTextIndent"/>
        <w:rPr>
          <w:rFonts w:ascii="Times New Roman" w:hAnsi="Times New Roman" w:cs="Times New Roman"/>
        </w:rPr>
      </w:pPr>
      <w:r>
        <w:rPr>
          <w:rFonts w:cs="Times New Roman" w:ascii="Times New Roman" w:hAnsi="Times New Roman"/>
        </w:rPr>
        <w:t>The Smith/Enron Cogeneration Limited Partnership ("SECLP") is a 185 MW, liquid fuel-fired power project in the Dominican Republic, of which Enron owns 85%.  Don Smith and the Smith companies (“Smith”) own 15%.  Because of problems with the boilers at the plant supplied and built by Raytheon and Foster Wheeler, SECLP is negotiating a settlement agreement whereby Raytheon and Foster Wheeler (FW) will replace the boilers in exchange for certain releases from liability.</w:t>
      </w:r>
    </w:p>
    <w:p>
      <w:pPr>
        <w:pStyle w:val="Normal"/>
        <w:ind w:start="360" w:end="0"/>
        <w:jc w:val="both"/>
        <w:rPr>
          <w:rFonts w:ascii="Times New Roman" w:hAnsi="Times New Roman" w:cs="Times New Roman"/>
          <w:color w:val="000000"/>
          <w:sz w:val="24"/>
          <w:lang w:eastAsia="en-US"/>
        </w:rPr>
      </w:pPr>
      <w:r>
        <w:rPr>
          <w:rFonts w:cs="Times New Roman"/>
          <w:color w:val="000000"/>
          <w:sz w:val="24"/>
          <w:lang w:eastAsia="en-US"/>
        </w:rPr>
      </w:r>
    </w:p>
    <w:p>
      <w:pPr>
        <w:pStyle w:val="Normal"/>
        <w:ind w:start="360" w:end="0"/>
        <w:jc w:val="both"/>
        <w:rPr>
          <w:color w:val="000000"/>
          <w:sz w:val="24"/>
          <w:u w:val="single"/>
          <w:lang w:eastAsia="en-US"/>
        </w:rPr>
      </w:pPr>
      <w:r>
        <w:rPr>
          <w:color w:val="000000"/>
          <w:sz w:val="24"/>
          <w:u w:val="single"/>
          <w:lang w:eastAsia="en-US"/>
        </w:rPr>
        <w:t>2.</w:t>
        <w:tab/>
        <w:t>Release of Raytheon and FW and Enron Guaranty.</w:t>
      </w:r>
    </w:p>
    <w:p>
      <w:pPr>
        <w:pStyle w:val="BodyTextIndent"/>
        <w:rPr>
          <w:rFonts w:ascii="Times New Roman" w:hAnsi="Times New Roman" w:cs="Times New Roman"/>
        </w:rPr>
      </w:pPr>
      <w:r>
        <w:rPr>
          <w:rFonts w:cs="Times New Roman" w:ascii="Times New Roman" w:hAnsi="Times New Roman"/>
        </w:rPr>
        <w:t>Pursuant to the proposed settlement agreement, SECLP and its partners, Enron and Smith, plan to release Raytheon and FW from exposure to any damages SECLP may suffer as a result of the boilers. Enron is binding itself and the SECLP partnership by signing the release as a general partner; however, Smith, also a general partner, refuses to sign the release (such non-action is typical for Smith).  Therefore, Raytheon and FW seek protection from both SECLP and Enron for claims Smith may bring against them for any third party damages Smith incurs resulting from the boilers.  Because Smith refuses to sign the release, and their knowledge of the Costambar and Berges claims against Smith in the Dominican Republic (see 4 below), Raytheon and FW seek an Enron guaranty as a back-stop against any claims by Smith.</w:t>
      </w:r>
    </w:p>
    <w:p>
      <w:pPr>
        <w:pStyle w:val="Normal"/>
        <w:ind w:firstLine="360" w:start="360" w:end="0"/>
        <w:jc w:val="both"/>
        <w:rPr>
          <w:rFonts w:ascii="Times New Roman" w:hAnsi="Times New Roman" w:cs="Times New Roman"/>
          <w:color w:val="000000"/>
          <w:sz w:val="24"/>
          <w:lang w:eastAsia="en-US"/>
        </w:rPr>
      </w:pPr>
      <w:r>
        <w:rPr>
          <w:rFonts w:cs="Times New Roman"/>
          <w:color w:val="000000"/>
          <w:sz w:val="24"/>
          <w:lang w:eastAsia="en-US"/>
        </w:rPr>
      </w:r>
    </w:p>
    <w:p>
      <w:pPr>
        <w:pStyle w:val="Normal"/>
        <w:ind w:firstLine="360" w:end="0"/>
        <w:jc w:val="both"/>
        <w:rPr>
          <w:color w:val="000000"/>
          <w:sz w:val="24"/>
          <w:u w:val="single"/>
          <w:lang w:eastAsia="en-US"/>
        </w:rPr>
      </w:pPr>
      <w:r>
        <w:rPr>
          <w:color w:val="000000"/>
          <w:sz w:val="24"/>
          <w:u w:val="single"/>
          <w:lang w:eastAsia="en-US"/>
        </w:rPr>
        <w:t>3.</w:t>
        <w:tab/>
        <w:t>Guaranty -Triggering Factors.</w:t>
      </w:r>
    </w:p>
    <w:p>
      <w:pPr>
        <w:pStyle w:val="BodyTextIndent"/>
        <w:rPr>
          <w:rFonts w:ascii="Times New Roman" w:hAnsi="Times New Roman" w:cs="Times New Roman"/>
        </w:rPr>
      </w:pPr>
      <w:r>
        <w:rPr>
          <w:rFonts w:cs="Times New Roman" w:ascii="Times New Roman" w:hAnsi="Times New Roman"/>
        </w:rPr>
        <w:t>Under Texas limited partnership law and the SECLP partnership agreement, SECLP is obligated to indemnify Smith for damages resulting from the operation of the plant.  Therefore, the Enron guaranty will be triggered only if (i) Smith suffers third party liability resulting from the operation of the SECLP plant; (ii) SECLP fails to indemnify Smith for such liability as required by the SECLP partnership agreement; and (iii) Smith is able to successfully bring a meritorious claim against Raytheon and FW for indemnity.  The chances of this occurring are remote.</w:t>
      </w:r>
    </w:p>
    <w:p>
      <w:pPr>
        <w:pStyle w:val="Normal"/>
        <w:ind w:firstLine="360" w:start="360" w:end="0"/>
        <w:jc w:val="both"/>
        <w:rPr>
          <w:rFonts w:ascii="Times New Roman" w:hAnsi="Times New Roman" w:cs="Times New Roman"/>
          <w:color w:val="000000"/>
          <w:sz w:val="24"/>
          <w:lang w:eastAsia="en-US"/>
        </w:rPr>
      </w:pPr>
      <w:r>
        <w:rPr>
          <w:rFonts w:cs="Times New Roman"/>
          <w:color w:val="000000"/>
          <w:sz w:val="24"/>
          <w:lang w:eastAsia="en-US"/>
        </w:rPr>
      </w:r>
    </w:p>
    <w:p>
      <w:pPr>
        <w:pStyle w:val="Normal"/>
        <w:ind w:start="360" w:end="0"/>
        <w:jc w:val="both"/>
        <w:rPr>
          <w:color w:val="000000"/>
          <w:sz w:val="24"/>
          <w:lang w:eastAsia="en-US"/>
        </w:rPr>
      </w:pPr>
      <w:r>
        <w:rPr>
          <w:color w:val="000000"/>
          <w:sz w:val="24"/>
          <w:u w:val="single"/>
          <w:lang w:eastAsia="en-US"/>
        </w:rPr>
        <w:t xml:space="preserve">4. </w:t>
        <w:tab/>
        <w:t>Existing Litigation.</w:t>
      </w:r>
    </w:p>
    <w:p>
      <w:pPr>
        <w:pStyle w:val="BodyText"/>
        <w:ind w:firstLine="720" w:start="3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The local Costambar community and Carolina Berges, a Costambar resident, have filed separate suits against SECLP in the Dominican Republic.  The suits are for diminution of property value and injury to health, respectively.  The Costambar and Berges litigation are included in the liabilities from which Raytheon and FW are being released.  In both cases, SECLP and Smith International LTD (a limited partner of SECLP with a 14% ownership interest) are named defendants. </w:t>
      </w:r>
    </w:p>
    <w:p>
      <w:pPr>
        <w:pStyle w:val="Normal"/>
        <w:ind w:start="360" w:end="0"/>
        <w:jc w:val="both"/>
        <w:rPr>
          <w:rFonts w:ascii="Times New Roman" w:hAnsi="Times New Roman" w:cs="Times New Roman"/>
          <w:color w:val="000000"/>
          <w:sz w:val="24"/>
          <w:lang w:eastAsia="en-US"/>
        </w:rPr>
      </w:pPr>
      <w:r>
        <w:rPr>
          <w:rFonts w:cs="Times New Roman"/>
          <w:color w:val="000000"/>
          <w:sz w:val="24"/>
          <w:lang w:eastAsia="en-US"/>
        </w:rPr>
      </w:r>
    </w:p>
    <w:p>
      <w:pPr>
        <w:pStyle w:val="Normal"/>
        <w:ind w:firstLine="360" w:start="360" w:end="0"/>
        <w:jc w:val="both"/>
        <w:rPr>
          <w:color w:val="000000"/>
          <w:sz w:val="24"/>
          <w:lang w:eastAsia="en-US"/>
        </w:rPr>
      </w:pPr>
      <w:r>
        <w:rPr>
          <w:color w:val="000000"/>
          <w:sz w:val="24"/>
          <w:lang w:eastAsia="en-US"/>
        </w:rPr>
        <w:t xml:space="preserve">It is the Enron litigation lawyers’ opinion that the risk to Smith posed by these suits is not substantial, and we therefore support the issuance of the Enron guaranty.  The following is the basis for our opinion. </w:t>
      </w:r>
    </w:p>
    <w:p>
      <w:pPr>
        <w:pStyle w:val="Normal"/>
        <w:ind w:start="360" w:end="0"/>
        <w:jc w:val="both"/>
        <w:rPr>
          <w:color w:val="000000"/>
          <w:sz w:val="24"/>
          <w:lang w:eastAsia="en-US"/>
        </w:rPr>
      </w:pPr>
      <w:r>
        <w:rPr>
          <w:color w:val="000000"/>
          <w:sz w:val="24"/>
          <w:lang w:eastAsia="en-US"/>
        </w:rPr>
      </w:r>
    </w:p>
    <w:p>
      <w:pPr>
        <w:pStyle w:val="Normal"/>
        <w:ind w:firstLine="360" w:start="360" w:end="0"/>
        <w:jc w:val="both"/>
        <w:rPr>
          <w:color w:val="000000"/>
          <w:sz w:val="24"/>
          <w:lang w:eastAsia="en-US"/>
        </w:rPr>
      </w:pPr>
      <w:r>
        <w:rPr>
          <w:color w:val="000000"/>
          <w:sz w:val="24"/>
          <w:lang w:eastAsia="en-US"/>
        </w:rPr>
        <w:t>The plaintiffs in the Costambar suit have presented no data supporting reduced property values or a negative impact from the plant.  The disappointing property values are attributable to the developer’s failure to fulfill the promise to the community of a country club residence.  Promised and not delivered are tennis courts, pool, clubhouse, lighting, etc.  Also, the community is located next to a barrio.</w:t>
      </w:r>
    </w:p>
    <w:p>
      <w:pPr>
        <w:pStyle w:val="Normal"/>
        <w:ind w:start="360" w:end="0"/>
        <w:jc w:val="both"/>
        <w:rPr>
          <w:color w:val="000000"/>
          <w:sz w:val="24"/>
          <w:lang w:eastAsia="en-US"/>
        </w:rPr>
      </w:pPr>
      <w:r>
        <w:rPr>
          <w:color w:val="000000"/>
          <w:sz w:val="24"/>
          <w:lang w:eastAsia="en-US"/>
        </w:rPr>
      </w:r>
    </w:p>
    <w:p>
      <w:pPr>
        <w:pStyle w:val="Normal"/>
        <w:ind w:start="360" w:end="0"/>
        <w:jc w:val="both"/>
        <w:rPr>
          <w:color w:val="000000"/>
          <w:sz w:val="24"/>
          <w:lang w:eastAsia="en-US"/>
        </w:rPr>
      </w:pPr>
      <w:r>
        <w:rPr>
          <w:color w:val="000000"/>
          <w:sz w:val="24"/>
          <w:lang w:eastAsia="en-US"/>
        </w:rPr>
        <w:tab/>
        <w:t>In the Berges case, a mother and her son claim that their bronchial asthma was caused by SECLP’s operation of the plant.  SECLP has filed air-monitoring documents showing the plant operates within World Bank environmental guidelines and epidemiology and toxicology expert reports refuting the plaintiffs’ claims.  Plaintiffs have filed no competent evidence to support their case.</w:t>
      </w:r>
    </w:p>
    <w:p>
      <w:pPr>
        <w:pStyle w:val="Normal"/>
        <w:ind w:start="360" w:end="0"/>
        <w:jc w:val="both"/>
        <w:rPr>
          <w:color w:val="000000"/>
          <w:sz w:val="24"/>
          <w:lang w:eastAsia="en-US"/>
        </w:rPr>
      </w:pPr>
      <w:r>
        <w:rPr>
          <w:color w:val="000000"/>
          <w:sz w:val="24"/>
          <w:lang w:eastAsia="en-US"/>
        </w:rPr>
      </w:r>
    </w:p>
    <w:p>
      <w:pPr>
        <w:pStyle w:val="Normal"/>
        <w:ind w:firstLine="360" w:start="360" w:end="0"/>
        <w:jc w:val="both"/>
        <w:rPr>
          <w:color w:val="000000"/>
          <w:sz w:val="24"/>
          <w:lang w:eastAsia="en-US"/>
        </w:rPr>
      </w:pPr>
      <w:r>
        <w:rPr>
          <w:color w:val="000000"/>
          <w:sz w:val="24"/>
          <w:lang w:eastAsia="en-US"/>
        </w:rPr>
        <w:t>Finally, under the warranty provisions of the initial Raytheon and FW contracts, it is unlikely that Smith could be held liable in these cases under circumstances which would trigger a claim against Raytheon and FW for contribution or indemnity.</w:t>
      </w:r>
    </w:p>
    <w:p>
      <w:pPr>
        <w:pStyle w:val="Normal"/>
        <w:ind w:firstLine="360" w:start="360" w:end="0"/>
        <w:jc w:val="both"/>
        <w:rPr>
          <w:color w:val="000000"/>
          <w:sz w:val="24"/>
          <w:lang w:eastAsia="en-US"/>
        </w:rPr>
      </w:pPr>
      <w:r>
        <w:rPr>
          <w:color w:val="000000"/>
          <w:sz w:val="24"/>
          <w:lang w:eastAsia="en-US"/>
        </w:rPr>
      </w:r>
    </w:p>
    <w:p>
      <w:pPr>
        <w:pStyle w:val="Normal"/>
        <w:ind w:firstLine="360" w:start="360" w:end="0"/>
        <w:jc w:val="both"/>
        <w:rPr>
          <w:color w:val="000000"/>
          <w:sz w:val="24"/>
          <w:lang w:eastAsia="en-US"/>
        </w:rPr>
      </w:pPr>
      <w:r>
        <w:rPr>
          <w:color w:val="000000"/>
          <w:sz w:val="24"/>
          <w:lang w:eastAsia="en-US"/>
        </w:rPr>
        <w:t>For these reasons, the likelihood that Smith will have a successful claim against Raytheon or Foster Wheeler to which the guaranty would have to respond is remote.</w:t>
      </w:r>
    </w:p>
    <w:p>
      <w:pPr>
        <w:pStyle w:val="Normal"/>
        <w:rPr>
          <w:color w:val="000000"/>
          <w:sz w:val="24"/>
          <w:lang w:eastAsia="en-US"/>
        </w:rPr>
      </w:pPr>
      <w:r>
        <w:rPr>
          <w:color w:val="000000"/>
          <w:sz w:val="24"/>
          <w:lang w:eastAsia="en-US"/>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/mnt/main-storage/datasets/enron-docs/doc/Litigation_Assessment_in_Support_of_Enron_Guaranty.doc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jc w:val="both"/>
      <w:outlineLvl w:val="0"/>
    </w:pPr>
    <w:rPr>
      <w:rFonts w:ascii="Tms Rmn" w:hAnsi="Tms Rmn" w:cs="Tms Rmn"/>
      <w:color w:val="000000"/>
      <w:sz w:val="24"/>
      <w:lang w:eastAsia="en-US"/>
    </w:rPr>
  </w:style>
  <w:style w:type="paragraph" w:styleId="Heading3">
    <w:name w:val="heading 3"/>
    <w:basedOn w:val="Normal"/>
    <w:next w:val="Normal"/>
    <w:qFormat/>
    <w:pPr>
      <w:keepNext w:val="true"/>
      <w:numPr>
        <w:ilvl w:val="2"/>
        <w:numId w:val="1"/>
      </w:numPr>
      <w:tabs>
        <w:tab w:val="clear" w:pos="720"/>
        <w:tab w:val="left" w:pos="1440" w:leader="none"/>
      </w:tabs>
      <w:outlineLvl w:val="2"/>
    </w:pPr>
    <w:rPr>
      <w:rFonts w:ascii="Arial" w:hAnsi="Arial" w:cs="Arial"/>
      <w:sz w:val="24"/>
      <w:lang w:eastAsia="en-U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ms Rmn" w:hAnsi="Tms Rmn" w:cs="Tms Rmn"/>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360" w:end="0"/>
      <w:jc w:val="both"/>
    </w:pPr>
    <w:rPr>
      <w:rFonts w:ascii="Tms Rmn" w:hAnsi="Tms Rmn" w:cs="Tms Rmn"/>
      <w:color w:val="000000"/>
      <w:sz w:val="24"/>
      <w:lang w:eastAsia="en-US"/>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2001-01-08T16:30:00Z</dcterms:created>
  <dc:creator>EI</dc:creator>
  <dc:description/>
  <dc:language>en-CA</dc:language>
  <cp:lastModifiedBy>Stephanie Truss</cp:lastModifiedBy>
  <cp:lastPrinted>2001-01-08T13:53:00Z</cp:lastPrinted>
  <dcterms:modified xsi:type="dcterms:W3CDTF">2001-01-08T17:23:00Z</dcterms:modified>
  <cp:revision>11</cp:revision>
  <dc:subject/>
  <dc:title>Confidential Attorney Work Product/Attorney Client/Privilege Communication</dc:title>
</cp:coreProperties>
</file>