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90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"/>
        <w:gridCol w:w="1890"/>
        <w:gridCol w:w="4050"/>
        <w:gridCol w:w="3330"/>
        <w:gridCol w:w="2340"/>
        <w:gridCol w:w="2430"/>
      </w:tblGrid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NAME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DESCRIPTION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VALUE TO ENRON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LEVEL OF PERSONAL PARTICIPATION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EPROTEL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-Acquire up to 40% of this Venezuelan communications integrator that has been operating in the region for 22 years.</w:t>
            </w:r>
          </w:p>
          <w:p>
            <w:pPr>
              <w:pStyle w:val="Normal"/>
              <w:rPr/>
            </w:pPr>
            <w:r>
              <w:rPr/>
              <w:t>-Expected revenues of US$26 million during 2000 and turnkey projects worth US$470 million that it cannot finance by itself.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-Immediate entry in the regional communications infrastructure market.</w:t>
            </w:r>
          </w:p>
          <w:p>
            <w:pPr>
              <w:pStyle w:val="Normal"/>
              <w:rPr/>
            </w:pPr>
            <w:r>
              <w:rPr/>
              <w:t>-Control over a relatively low cost and proven service provider that could be deployed to implement EBS projects throughout the region.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-Negotiating a reasonable price; total valuation estimated at US$20 by owner, trying to get it at less than US$15 million.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-Presented project to the Risk Committee</w:t>
            </w:r>
          </w:p>
          <w:p>
            <w:pPr>
              <w:pStyle w:val="Normal"/>
              <w:rPr/>
            </w:pPr>
            <w:r>
              <w:rPr/>
              <w:t>-Identified opportunity, Lead Developer with other team members.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PANCANAL TOLLS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-Take advantage of the new uncertainty created by the Panamanian government after assuming control of the Canal, as well as their need for funds to create a derivative of the tolls charged and the accompanying secondary market.</w:t>
            </w:r>
          </w:p>
          <w:p>
            <w:pPr>
              <w:pStyle w:val="Normal"/>
              <w:rPr/>
            </w:pPr>
            <w:r>
              <w:rPr/>
              <w:t>-The minimum implicit subsidy provided by the Canal is around 40%, and may be as high as 400% depending on the transportation route.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-High returns in a low equity investment that will provide a new instrument for EnronOnline’s platform.</w:t>
            </w:r>
          </w:p>
          <w:p>
            <w:pPr>
              <w:pStyle w:val="Normal"/>
              <w:rPr/>
            </w:pPr>
            <w:r>
              <w:rPr/>
              <w:t>-Potential fuel forward contracts valued at US$20 billion.</w:t>
            </w:r>
          </w:p>
          <w:p>
            <w:pPr>
              <w:pStyle w:val="Normal"/>
              <w:rPr/>
            </w:pPr>
            <w:r>
              <w:rPr/>
              <w:t>-Develop expertise to do the same with the Suez Canal.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-Evaluating several scenarios that range from monetizing the tolls to creating the derivatives without the Canal’s management.</w:t>
            </w:r>
          </w:p>
          <w:p>
            <w:pPr>
              <w:pStyle w:val="Normal"/>
              <w:rPr/>
            </w:pPr>
            <w:r>
              <w:rPr/>
              <w:t>-Waiting for guidance from senior management.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-Presented project to the Risk Committee</w:t>
            </w:r>
          </w:p>
          <w:p>
            <w:pPr>
              <w:pStyle w:val="Normal"/>
              <w:rPr/>
            </w:pPr>
            <w:r>
              <w:rPr/>
              <w:t>-Developed the concept, Lead Developer with the support from a summer associate.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NAP/Data Center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-Build the needed infrastructure that would host the first network access point (NAP) in Latin America and provide Data Center-related services –ASP, VOD, ISP, VOIP, data storage- to companies throughout the region.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-High revenue stream and immediate monetization.</w:t>
            </w:r>
          </w:p>
          <w:p>
            <w:pPr>
              <w:pStyle w:val="Normal"/>
              <w:rPr/>
            </w:pPr>
            <w:r>
              <w:rPr/>
              <w:t xml:space="preserve">-Pre-positioning for bandwidth trading if a pooling point is created.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-Pricing equipment and infrastructure.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-Identified opportunity and currently conducting research.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VIRTUAL FREE TRADE ZONE (VFTZ)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-Use a proprietary infrastructure or lease capacity to create a VFTZ parallel to the Colon FTZ in Panama, the second largest in the world and the regional distribution point for multinationals in Latin America.</w:t>
            </w:r>
          </w:p>
          <w:p>
            <w:pPr>
              <w:pStyle w:val="Normal"/>
              <w:rPr/>
            </w:pPr>
            <w:r>
              <w:rPr/>
              <w:t>-This VFTZ would integrate on the same platform the catalog, logistics, EFT, L/C, and insurance.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-High revenue stream from transactions, fees, and commissions considering a current yearly transaction volume of US$12 billion from Latam businesses.</w:t>
            </w:r>
          </w:p>
          <w:p>
            <w:pPr>
              <w:pStyle w:val="Normal"/>
              <w:rPr/>
            </w:pPr>
            <w:r>
              <w:rPr/>
              <w:t xml:space="preserve">-Concept may be emulated in Hong Kong, Dubai, or Miami, other major FTZ around the world. 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-Polishing concept and pricing technological infrastructure.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-Identified opportunity and currently dimensioning the hardware while conducting research to assess demand and acceptance of the technological platform.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SOVEREIGN DEBT RESTRUCTURING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-Manage the risk associated with sovereign debt by offering restructuring services using a concept similar to collaterized bond obligations 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-Fees of 0.5 – 2% on a sixty-day period restructuring debts starting at US$5 billion.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-Polishing concept and exploring the issue of the derivatives.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-Identified opportunity, developed model, and conducting research.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VENTANE/TMR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-Conducted an operational audit of the logistics operations at Ventane’s transportation company and identified savings of approximately US$1.2 million.</w:t>
            </w:r>
          </w:p>
          <w:p>
            <w:pPr>
              <w:pStyle w:val="Normal"/>
              <w:rPr/>
            </w:pPr>
            <w:r>
              <w:rPr/>
              <w:t>-Additional room for optimization with proper fleet management.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-Immediate cash savings.</w:t>
            </w:r>
          </w:p>
          <w:p>
            <w:pPr>
              <w:pStyle w:val="Normal"/>
              <w:rPr/>
            </w:pPr>
            <w:r>
              <w:rPr/>
              <w:t>-Additional revenue stream due to underutilized capacity.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-Recommendations were submitted and discussed with Ventane’s President that will implement them with the local staff.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-Conducted assessment and quantified savings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ALCATEL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-Utilize relationship with a customer in Colombia to build a fiber optic manufacturing plant with ALCATEL.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-Lower equity costs due to brokering efforts.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-Exploratory talks.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-Identified opportunity and started exploratory talks with French representative.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SAN JUAN FIBER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-Build a 32.23-mile long fiber optic metro ring.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-Substantial revenue potential from IRU sales.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-Under construction.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-Team member, support.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DARK FIBER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-Preliminary discussions with senior government officials from Jamaica, Dominica, Venezuela, and Costa Rica to use their government-owned metro and long haul ROWs to jointly developed dark fiber projects.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-Substantial revenue potential from IRU sales and upside income from commercial joint ventures.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-Working on a specific plan of action.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-Identified opportunity and met with officials.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ASSET EFFICIENCY</w:t>
            </w:r>
          </w:p>
        </w:tc>
        <w:tc>
          <w:tcPr>
            <w:tcW w:w="40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-Initiative to produce savings of approximately 10% of CALME’s G&amp;A through more efficient use of resources (logistics, travel, treasury, etc.) and consolidated purchases.</w:t>
            </w:r>
          </w:p>
        </w:tc>
        <w:tc>
          <w:tcPr>
            <w:tcW w:w="33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-Direct impact on the bottom line.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-Team members are currently gathering the needed data.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-Prepared source document and currently providing leadership to team members.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864" w:top="1872" w:footer="864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                                                                                        </w:t>
    </w:r>
    <w:r>
      <w:rPr>
        <w:lang w:eastAsia="en-US"/>
      </w:rPr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2</w:t>
    </w:r>
    <w:r>
      <w:rPr>
        <w:lang w:eastAsia="en-US"/>
      </w:rPr>
      <w:fldChar w:fldCharType="end"/>
    </w:r>
    <w:r>
      <w:rPr>
        <w:lang w:eastAsia="en-US"/>
      </w:rPr>
      <w:t xml:space="preserve"> of </w:t>
    </w:r>
    <w:r>
      <w:rPr>
        <w:lang w:eastAsia="en-US"/>
      </w:rPr>
      <w:fldChar w:fldCharType="begin"/>
    </w:r>
    <w:r>
      <w:rPr>
        <w:lang w:eastAsia="en-US"/>
      </w:rPr>
      <w:instrText xml:space="preserve"> NUMPAGES \* ARABIC </w:instrText>
    </w:r>
    <w:r>
      <w:rPr>
        <w:lang w:eastAsia="en-US"/>
      </w:rPr>
      <w:fldChar w:fldCharType="separate"/>
    </w:r>
    <w:r>
      <w:rPr>
        <w:lang w:eastAsia="en-US"/>
      </w:rPr>
      <w:t>2</w:t>
    </w:r>
    <w:r>
      <w:rPr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                                                </w:t>
    </w:r>
    <w:r>
      <w:rPr/>
      <w:tab/>
      <w:t>LIST OF COMMUNICATIONS, E-COMMERCE, AND SPECIAL VENTURES INITIATIVES</w:t>
    </w:r>
  </w:p>
  <w:p>
    <w:pPr>
      <w:pStyle w:val="Header"/>
      <w:rPr/>
    </w:pPr>
    <w:r>
      <w:rPr/>
      <w:tab/>
      <w:t xml:space="preserve">                                                                          APRIL – SEPTEMBER 2000</w:t>
    </w:r>
  </w:p>
  <w:p>
    <w:pPr>
      <w:pStyle w:val="Header"/>
      <w:rPr/>
    </w:pPr>
    <w:r>
      <w:rPr/>
    </w:r>
  </w:p>
  <w:p>
    <w:pPr>
      <w:pStyle w:val="Header"/>
      <w:rPr/>
    </w:pPr>
    <w:r>
      <w:rPr/>
      <w:t>ANTONIO JENKINS-LARA</w:t>
      <w:tab/>
      <w:tab/>
      <w:tab/>
      <w:tab/>
      <w:tab/>
      <w:tab/>
      <w:tab/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2000-09-07T07:44:00Z</dcterms:created>
  <dc:creator>JENKINS</dc:creator>
  <dc:description/>
  <dc:language>en-CA</dc:language>
  <cp:lastModifiedBy>Antonio Jenkins-Lara</cp:lastModifiedBy>
  <cp:lastPrinted>2000-09-08T06:32:00Z</cp:lastPrinted>
  <dcterms:modified xsi:type="dcterms:W3CDTF">2000-11-01T12:42:00Z</dcterms:modified>
  <cp:revision>25</cp:revision>
  <dc:subject/>
  <dc:title>Project</dc:title>
</cp:coreProperties>
</file>