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Liquidity, Its Ramifications, and Related Issues</w:t>
      </w:r>
    </w:p>
    <w:p>
      <w:pPr>
        <w:pStyle w:val="Normal"/>
        <w:rPr/>
      </w:pPr>
      <w:r>
        <w:rPr/>
      </w:r>
    </w:p>
    <w:p>
      <w:pPr>
        <w:pStyle w:val="Normal"/>
        <w:rPr/>
      </w:pPr>
      <w:r>
        <w:rPr/>
        <w:t>Liquidity – although readily recognized while making a transaction – can be very hard to define.  For instance, it is immediately obvious to us that the markets for residential real estate, automobiles, and US T-Bills are in increasing order of liquidity.  Yet, it is nearly impossible to come up with a concise definition of the concept.  In the foregoing, a discussion of the concept of liquidity is presented with its effect on market participants.  The presentation heavily borrows from several academic sources.  These sources are listed in the references for the interested reader.</w:t>
      </w:r>
    </w:p>
    <w:p>
      <w:pPr>
        <w:pStyle w:val="Normal"/>
        <w:rPr/>
      </w:pPr>
      <w:r>
        <w:rPr/>
      </w:r>
    </w:p>
    <w:p>
      <w:pPr>
        <w:pStyle w:val="Heading2"/>
        <w:ind w:hanging="0" w:start="0"/>
        <w:rPr/>
      </w:pPr>
      <w:r>
        <w:rPr/>
        <w:t>A Definition</w:t>
      </w:r>
    </w:p>
    <w:p>
      <w:pPr>
        <w:pStyle w:val="Normal"/>
        <w:rPr/>
      </w:pPr>
      <w:r>
        <w:rPr/>
        <w:t xml:space="preserve">Liquidity represents the ability of a market participant to trade within a reasonable time span while incurring relatively low transaction costs.  Two extreme examples might be useful here.  Extreme illiquidity occurs when a trader is unable to buy or sell any quantity, at any price, as there is no one willing to take the other side.  Perfect liquidity is the case where a trader can buy or sell any quantity immediately with no transaction costs.  In real life, the standards for liquidity vary across markets, as one week is a short period for a real estate transaction but very long for a stock included in the S&amp;P 500 index.  A similar caveat applies to transaction costs. </w:t>
      </w:r>
    </w:p>
    <w:p>
      <w:pPr>
        <w:pStyle w:val="Normal"/>
        <w:rPr/>
      </w:pPr>
      <w:r>
        <w:rPr/>
      </w:r>
    </w:p>
    <w:p>
      <w:pPr>
        <w:pStyle w:val="Heading2"/>
        <w:ind w:hanging="0" w:start="0"/>
        <w:rPr/>
      </w:pPr>
      <w:r>
        <w:rPr/>
        <w:t>Costs of Transacting</w:t>
      </w:r>
    </w:p>
    <w:p>
      <w:pPr>
        <w:pStyle w:val="Normal"/>
        <w:rPr/>
      </w:pPr>
      <w:r>
        <w:rPr/>
        <w:t>The classification of the costs of transacting can include up to three components.  The most visible component of the transaction cost is the commission cost.  This expense is typically incurred when an agent is paid a fee for making the trade on behalf of a principal.  For example, an investor has to pay the commission to the broker for executing a stock, bond, or futures market trade.  In real estate, a property seller will similarly pay a commission to the listing broker and to the counterpart’s broker.  In some markets such as the used car market, the buyer (or seller) may directly transact with the dealer.  In this case, commission costs are not applicable, but search costs apply.  In the absence of brokers, the buyer (or seller) has to spend time, effort, and money to choose the best among all available alternatives.  In the absence of such diligence, there would be the cost of opportunity lost (to sell at a better price).  In a sense, commission cost is the catch phrase for this class.</w:t>
      </w:r>
    </w:p>
    <w:p>
      <w:pPr>
        <w:pStyle w:val="Normal"/>
        <w:rPr/>
      </w:pPr>
      <w:r>
        <w:rPr/>
      </w:r>
    </w:p>
    <w:p>
      <w:pPr>
        <w:pStyle w:val="Normal"/>
        <w:rPr/>
      </w:pPr>
      <w:r>
        <w:rPr/>
        <w:t>Almost all asset and commodity markets that allow continuous trading while open, have at least one market maker (or dealer) standing ready to fill buy and sell orders at posted prices – New York Stock Exchange (NYSE), NASDAQ, and Chicago Board of Trade provide familiar examples.  This pair of posted prices is known as the bid-ask spread and represents the second most obvious cost.  In NYSE, a broker may delay her trade to improve the price over the posted bid-ask spread, but that poses a loss of immediacy (immediate liquidity).</w:t>
      </w:r>
    </w:p>
    <w:p>
      <w:pPr>
        <w:pStyle w:val="Normal"/>
        <w:rPr/>
      </w:pPr>
      <w:r>
        <w:rPr/>
      </w:r>
    </w:p>
    <w:p>
      <w:pPr>
        <w:pStyle w:val="Normal"/>
        <w:rPr/>
      </w:pPr>
      <w:r>
        <w:rPr/>
        <w:t>The third component of the costs of transacting is subtler.  Every buy (sell) order raises the demand (supply).  Therefore, the trader always adversely impacts the price of the asset/commodity to be transacted.  This effect of trade on the price is known as the market impact.  It is intuitive to see that larger orders have greater price impacts.</w:t>
      </w:r>
    </w:p>
    <w:p>
      <w:pPr>
        <w:pStyle w:val="Normal"/>
        <w:rPr/>
      </w:pPr>
      <w:r>
        <w:rPr/>
      </w:r>
    </w:p>
    <w:p>
      <w:pPr>
        <w:pStyle w:val="Heading2"/>
        <w:ind w:hanging="0" w:start="0"/>
        <w:rPr/>
      </w:pPr>
      <w:r>
        <w:rPr/>
        <w:t>The Market Maker’s Role</w:t>
      </w:r>
    </w:p>
    <w:p>
      <w:pPr>
        <w:pStyle w:val="Normal"/>
        <w:rPr/>
      </w:pPr>
      <w:r>
        <w:rPr/>
        <w:t>Market orders (willingness to transact at the market price) demand immediate liquidity.  These orders are seen as being more active in price setting.  Limit orders (commitment to transact at a fixed price or better, but not worse) supply liquidity, and are perceived as being passive [See Madhavan (2000)].  A market maker’s bid-ask spread can be likened to two limit orders, one to buy and another to sell {See Copeland and Galai (1983)].  If a trader does not like the spread, she can refuse to transact through a market order.  By posting the spread, the market maker provides liquidity to the market place while expecting to earn a profit commensurate with the risks taken.</w:t>
      </w:r>
    </w:p>
    <w:p>
      <w:pPr>
        <w:pStyle w:val="Normal"/>
        <w:rPr/>
      </w:pPr>
      <w:r>
        <w:rPr/>
      </w:r>
    </w:p>
    <w:p>
      <w:pPr>
        <w:pStyle w:val="Normal"/>
        <w:rPr/>
      </w:pPr>
      <w:r>
        <w:rPr/>
        <w:t>Also, by offering its services on the Internet or a similar nearly costless public medium, a market maker significantly reduces search costs, eliminates commissions, and provides a venue for interested buyers and sellers.  This congregation of buyers and sellers reduces price volatility by facilitating price discovery through continuous trading.  Thus, the market maker effectively creates a liquid market place facilitating larger trading volume.</w:t>
      </w:r>
    </w:p>
    <w:p>
      <w:pPr>
        <w:pStyle w:val="Normal"/>
        <w:rPr/>
      </w:pPr>
      <w:r>
        <w:rPr/>
      </w:r>
    </w:p>
    <w:p>
      <w:pPr>
        <w:pStyle w:val="Heading2"/>
        <w:ind w:hanging="0" w:start="0"/>
        <w:rPr/>
      </w:pPr>
      <w:r>
        <w:rPr/>
        <w:t>Social Benefits of Liquidity</w:t>
      </w:r>
    </w:p>
    <w:p>
      <w:pPr>
        <w:pStyle w:val="Normal"/>
        <w:rPr/>
      </w:pPr>
      <w:r>
        <w:rPr/>
        <w:t>As argued above, a market maker essentially brings buyers and seller together which increases trading activity. This begins a virtuous cycle as trading costs decline, which creates further liquidity.  To quote the seminal article by Demsetz(1968), “The statistical analysis strongly indicates that the cost of exchanging a security declines as trading activity in the security increases.”  Demsetz goes on to state that, “These results probably hold for organized trading in commodities and currencies also.”  One must bear in mind that the costs of transaction must be viewed in proportion to the value of the asset being exchanged.  More specifically, Wang and Yau (2000) study financial and commodity futures and find that, “Results indicate that there is an … inverse relationship between trading volume and bid-ask spread after we controlled for other factors.”  Copeland and Galai (1983) use an options approach to the spread and conclude that “The bid-ask spread increases with greater price volatility … , and with lower volume.”  Clearly market makers benefit the society by creating a marketplace.  Along similar lines, Cohen, Maier, Schwartz, and Whitcomb (1981) recommend, “A primary objective of system design should be to expand the extent and frequency with which investors interact with the market by minimizing various transaction costs.  Decreasing variable transaction costs will decrease individual spreads and generate a greater order flow; decreasing the cost of monitoring and communicating … will reduce search costs and further shrink spreads …”  Other studies such as Tinic (1972) have found similar relationships between volume and spread.</w:t>
      </w:r>
    </w:p>
    <w:p>
      <w:pPr>
        <w:pStyle w:val="Normal"/>
        <w:rPr/>
      </w:pPr>
      <w:r>
        <w:rPr/>
      </w:r>
    </w:p>
    <w:p>
      <w:pPr>
        <w:pStyle w:val="Normal"/>
        <w:rPr/>
      </w:pPr>
      <w:r>
        <w:rPr/>
        <w:t>Higher trading activity also leads to lower market impact costs as the depth of the market allows it to absorb larger trades. The NYSE stocks provide clear evidence where larger stocks have higher trading volume, lower bid-ask spread, and lower market impact compared to smaller stocks.</w:t>
      </w:r>
    </w:p>
    <w:p>
      <w:pPr>
        <w:pStyle w:val="Normal"/>
        <w:rPr/>
      </w:pPr>
      <w:r>
        <w:rPr/>
      </w:r>
    </w:p>
    <w:p>
      <w:pPr>
        <w:pStyle w:val="Heading2"/>
        <w:ind w:hanging="0" w:start="0"/>
        <w:rPr/>
      </w:pPr>
      <w:r>
        <w:rPr/>
        <w:t>Multiple Trading Venues</w:t>
      </w:r>
    </w:p>
    <w:p>
      <w:pPr>
        <w:pStyle w:val="Normal"/>
        <w:rPr/>
      </w:pPr>
      <w:r>
        <w:rPr/>
        <w:t>Often, there are several markets trading the same asset or commodity – a consequence of different scales of trading and transaction costs.  Thus a market-order trader can choose to take her order to one of the many different venues.  Pagano (1989) studies the cross-sectional issue and finds that the number of traders reduces the market price variance (a desirable outcome).  Also an increase in the number of traders obtains a “better” price for each trader – essentially an increase in the liquidity of the markets.</w:t>
      </w:r>
    </w:p>
    <w:p>
      <w:pPr>
        <w:pStyle w:val="Normal"/>
        <w:rPr/>
      </w:pPr>
      <w:r>
        <w:rPr/>
      </w:r>
    </w:p>
    <w:p>
      <w:pPr>
        <w:pStyle w:val="Heading2"/>
        <w:ind w:hanging="0" w:start="0"/>
        <w:rPr/>
      </w:pPr>
      <w:r>
        <w:rPr/>
        <w:t>Conclusion</w:t>
      </w:r>
    </w:p>
    <w:p>
      <w:pPr>
        <w:pStyle w:val="Normal"/>
        <w:rPr/>
      </w:pPr>
      <w:r>
        <w:rPr/>
        <w:t>Academic theoretical and empirical studies all strongly weigh in favor of providing liquidity through market makers.  Social benefits of these market-making services seem to be considerable and significant.</w:t>
      </w:r>
    </w:p>
    <w:p>
      <w:pPr>
        <w:pStyle w:val="Normal"/>
        <w:rPr/>
      </w:pPr>
      <w:r>
        <w:rPr/>
      </w:r>
    </w:p>
    <w:p>
      <w:pPr>
        <w:pStyle w:val="Heading1"/>
        <w:ind w:hanging="0" w:start="0"/>
        <w:rPr/>
      </w:pPr>
      <w:r>
        <w:rPr/>
        <w:t>References</w:t>
      </w:r>
    </w:p>
    <w:p>
      <w:pPr>
        <w:pStyle w:val="Normal"/>
        <w:rPr/>
      </w:pPr>
      <w:r>
        <w:rPr/>
        <w:t xml:space="preserve">Cohen, Kalman, Steven Maier, Robert Schwartz, and David Whitcomb, 1981, “Transaction Costs, Order Placement Strategy, and Existence of the Bid-Ask Spread.” </w:t>
      </w:r>
    </w:p>
    <w:p>
      <w:pPr>
        <w:pStyle w:val="Normal"/>
        <w:rPr/>
      </w:pPr>
      <w:r>
        <w:rPr>
          <w:i/>
          <w:iCs/>
        </w:rPr>
        <w:t>Journal of Political Economy</w:t>
      </w:r>
      <w:r>
        <w:rPr/>
        <w:t>, Vol. 89, no. 2.</w:t>
      </w:r>
    </w:p>
    <w:p>
      <w:pPr>
        <w:pStyle w:val="Normal"/>
        <w:rPr/>
      </w:pPr>
      <w:r>
        <w:rPr/>
        <w:t xml:space="preserve">Copeland, Thomas, and Dan Galai, 1983, “Information Effects on the Bid-Ask Spread.” </w:t>
      </w:r>
      <w:r>
        <w:rPr>
          <w:i/>
          <w:iCs/>
        </w:rPr>
        <w:t>Journal of Finance</w:t>
      </w:r>
      <w:r>
        <w:rPr/>
        <w:t>, Vol. 38, No. 5.</w:t>
      </w:r>
    </w:p>
    <w:p>
      <w:pPr>
        <w:pStyle w:val="Normal"/>
        <w:rPr/>
      </w:pPr>
      <w:r>
        <w:rPr/>
        <w:t xml:space="preserve">Demsetz, Harold, 1968, “The Cost of Transacting.” </w:t>
      </w:r>
      <w:r>
        <w:rPr>
          <w:i/>
          <w:iCs/>
        </w:rPr>
        <w:t>Quarterly Journal of Economics</w:t>
      </w:r>
      <w:r>
        <w:rPr/>
        <w:t>, 1968, Vol. 82, No. 1.</w:t>
      </w:r>
    </w:p>
    <w:p>
      <w:pPr>
        <w:pStyle w:val="Normal"/>
        <w:rPr/>
      </w:pPr>
      <w:r>
        <w:rPr/>
        <w:t>Maureen O’Hara, 1997, “</w:t>
      </w:r>
      <w:r>
        <w:rPr>
          <w:i/>
          <w:iCs/>
        </w:rPr>
        <w:t>Market Microstructure Theory</w:t>
      </w:r>
      <w:r>
        <w:rPr/>
        <w:t>.” Blackwell.</w:t>
      </w:r>
    </w:p>
    <w:p>
      <w:pPr>
        <w:pStyle w:val="Normal"/>
        <w:rPr/>
      </w:pPr>
      <w:r>
        <w:rPr/>
        <w:t xml:space="preserve">Madhavan, Ananth, 2000, “Market Microstructure: A Survey.” </w:t>
      </w:r>
      <w:r>
        <w:rPr>
          <w:i/>
          <w:iCs/>
        </w:rPr>
        <w:t xml:space="preserve">University of Southern </w:t>
      </w:r>
    </w:p>
    <w:p>
      <w:pPr>
        <w:pStyle w:val="Normal"/>
        <w:rPr/>
      </w:pPr>
      <w:r>
        <w:rPr>
          <w:i/>
          <w:iCs/>
        </w:rPr>
        <w:t>California Working Paper</w:t>
      </w:r>
      <w:r>
        <w:rPr/>
        <w:t>.</w:t>
      </w:r>
    </w:p>
    <w:p>
      <w:pPr>
        <w:pStyle w:val="Normal"/>
        <w:rPr/>
      </w:pPr>
      <w:r>
        <w:rPr/>
        <w:t xml:space="preserve">Tinic, Seha, 1972, “The Economics of Liquidity Services.” </w:t>
      </w:r>
      <w:r>
        <w:rPr>
          <w:i/>
          <w:iCs/>
        </w:rPr>
        <w:t>Quarterly Journal of Economics</w:t>
      </w:r>
      <w:r>
        <w:rPr/>
        <w:t>, Vol. 86, No. 1.</w:t>
      </w:r>
    </w:p>
    <w:p>
      <w:pPr>
        <w:pStyle w:val="Normal"/>
        <w:rPr/>
      </w:pPr>
      <w:r>
        <w:rPr/>
        <w:t xml:space="preserve">Wang, George, and Jot Yau, 2000, “Trading Volume, Bid-Ask Spread, and Price Volatility in Futures Markets.”  </w:t>
      </w:r>
      <w:r>
        <w:rPr>
          <w:i/>
          <w:iCs/>
        </w:rPr>
        <w:t>Journal of Futures Markets</w:t>
      </w:r>
      <w:r>
        <w:rPr/>
        <w:t>, Vol. 20, No. 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2001-06-28T21:24:00Z</dcterms:created>
  <dc:creator>rbharati</dc:creator>
  <dc:description/>
  <dc:language>en-CA</dc:language>
  <cp:lastModifiedBy>rbharati</cp:lastModifiedBy>
  <cp:lastPrinted>2001-06-27T16:35:00Z</cp:lastPrinted>
  <dcterms:modified xsi:type="dcterms:W3CDTF">2001-06-28T21:34:00Z</dcterms:modified>
  <cp:revision>5</cp:revision>
  <dc:subject/>
  <dc:title>Liquidity – although readily recognized while making a transaction – can be very hard to define</dc:title>
</cp:coreProperties>
</file>