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Joseph P. Limone, Esq.</w:t>
      </w:r>
    </w:p>
    <w:p>
      <w:pPr>
        <w:pStyle w:val="Normal"/>
        <w:jc w:val="center"/>
        <w:rPr/>
      </w:pPr>
      <w:r>
        <w:rPr/>
        <w:t>2700 Summerview Way, Unit 102</w:t>
      </w:r>
    </w:p>
    <w:p>
      <w:pPr>
        <w:pStyle w:val="Normal"/>
        <w:jc w:val="center"/>
        <w:rPr/>
      </w:pPr>
      <w:r>
        <w:rPr/>
        <w:t>Annapolis, MD 21401</w:t>
      </w:r>
    </w:p>
    <w:p>
      <w:pPr>
        <w:pStyle w:val="Normal"/>
        <w:jc w:val="center"/>
        <w:rPr/>
      </w:pPr>
      <w:r>
        <w:rPr/>
        <w:t>(410) 897-9514</w:t>
      </w:r>
    </w:p>
    <w:p>
      <w:pPr>
        <w:pStyle w:val="Normal"/>
        <w:rPr/>
      </w:pPr>
      <w:r>
        <w:rPr/>
      </w:r>
    </w:p>
    <w:p>
      <w:pPr>
        <w:pStyle w:val="Normal"/>
        <w:rPr/>
      </w:pPr>
      <w:r>
        <w:rPr/>
        <w:t>Bar Admission:</w:t>
        <w:tab/>
        <w:t xml:space="preserve">    </w:t>
        <w:tab/>
        <w:t xml:space="preserve">    Commonwealth of Massachusetts, 1990</w:t>
      </w:r>
    </w:p>
    <w:p>
      <w:pPr>
        <w:pStyle w:val="Normal"/>
        <w:rPr/>
      </w:pPr>
      <w:r>
        <w:rPr/>
        <w:tab/>
        <w:tab/>
        <w:tab/>
        <w:t xml:space="preserve">    Federal District Court of Massachusetts, January 1991</w:t>
      </w:r>
    </w:p>
    <w:p>
      <w:pPr>
        <w:pStyle w:val="Normal"/>
        <w:rPr/>
      </w:pPr>
      <w:r>
        <w:rPr/>
        <w:tab/>
        <w:tab/>
        <w:tab/>
        <w:t xml:space="preserve">    Federal Court of Appeals, First Circuit, April 1991</w:t>
      </w:r>
    </w:p>
    <w:p>
      <w:pPr>
        <w:pStyle w:val="Normal"/>
        <w:rPr/>
      </w:pPr>
      <w:r>
        <w:rPr/>
        <w:tab/>
        <w:tab/>
        <w:tab/>
        <w:t xml:space="preserve">    State of New York, December 1996</w:t>
      </w:r>
    </w:p>
    <w:p>
      <w:pPr>
        <w:pStyle w:val="Normal"/>
        <w:rPr/>
      </w:pPr>
      <w:r>
        <w:rPr/>
        <w:tab/>
        <w:tab/>
        <w:tab/>
        <w:t xml:space="preserve">    Pending State of Maryland</w:t>
      </w:r>
    </w:p>
    <w:p>
      <w:pPr>
        <w:pStyle w:val="Normal"/>
        <w:rPr/>
      </w:pPr>
      <w:r>
        <w:rPr/>
        <w:tab/>
        <w:tab/>
        <w:tab/>
        <w:t xml:space="preserve">    Pending District of Columbia</w:t>
      </w:r>
    </w:p>
    <w:p>
      <w:pPr>
        <w:pStyle w:val="Normal"/>
        <w:rPr/>
      </w:pPr>
      <w:r>
        <w:rPr/>
      </w:r>
    </w:p>
    <w:p>
      <w:pPr>
        <w:pStyle w:val="Normal"/>
        <w:rPr/>
      </w:pPr>
      <w:r>
        <w:rPr/>
        <w:t xml:space="preserve">Professional </w:t>
      </w:r>
    </w:p>
    <w:p>
      <w:pPr>
        <w:pStyle w:val="Normal"/>
        <w:rPr/>
      </w:pPr>
      <w:r>
        <w:rPr/>
        <w:t xml:space="preserve">Experience:   </w:t>
        <w:tab/>
        <w:t xml:space="preserve">    </w:t>
        <w:tab/>
        <w:t xml:space="preserve">      </w:t>
      </w:r>
      <w:r>
        <w:rPr>
          <w:b/>
        </w:rPr>
        <w:t>MERCHANT ENERGY GROUP</w:t>
      </w:r>
    </w:p>
    <w:p>
      <w:pPr>
        <w:pStyle w:val="Normal"/>
        <w:rPr/>
      </w:pPr>
      <w:r>
        <w:rPr/>
        <w:tab/>
        <w:tab/>
        <w:tab/>
        <w:t xml:space="preserve">      General Counsel</w:t>
        <w:tab/>
        <w:tab/>
        <w:tab/>
        <w:t>Annapolis, MD (April 1998-Present)</w:t>
      </w:r>
    </w:p>
    <w:p>
      <w:pPr>
        <w:pStyle w:val="Normal"/>
        <w:numPr>
          <w:ilvl w:val="0"/>
          <w:numId w:val="6"/>
        </w:numPr>
        <w:tabs>
          <w:tab w:val="clear" w:pos="720"/>
          <w:tab w:val="left" w:pos="2520" w:leader="none"/>
        </w:tabs>
        <w:ind w:hanging="360" w:start="2520" w:end="0"/>
        <w:rPr/>
      </w:pPr>
      <w:r>
        <w:rPr/>
        <w:t xml:space="preserve">Started with Merchant Energy Group in its initial year of operation as a start-up company and am an integral part of its business team.  </w:t>
      </w:r>
    </w:p>
    <w:p>
      <w:pPr>
        <w:pStyle w:val="Normal"/>
        <w:numPr>
          <w:ilvl w:val="0"/>
          <w:numId w:val="6"/>
        </w:numPr>
        <w:tabs>
          <w:tab w:val="clear" w:pos="720"/>
          <w:tab w:val="left" w:pos="2520" w:leader="none"/>
        </w:tabs>
        <w:ind w:hanging="360" w:start="2520" w:end="0"/>
        <w:rPr/>
      </w:pPr>
      <w:r>
        <w:rPr/>
        <w:t>Member of the Board of Directors and serve as its corporate secretary, responsible for board minutes, resolutions and all other corporate secretary functions.</w:t>
      </w:r>
    </w:p>
    <w:p>
      <w:pPr>
        <w:pStyle w:val="Normal"/>
        <w:numPr>
          <w:ilvl w:val="0"/>
          <w:numId w:val="6"/>
        </w:numPr>
        <w:tabs>
          <w:tab w:val="clear" w:pos="720"/>
          <w:tab w:val="left" w:pos="2520" w:leader="none"/>
        </w:tabs>
        <w:ind w:hanging="360" w:start="2520" w:end="0"/>
        <w:rPr/>
      </w:pPr>
      <w:r>
        <w:rPr/>
        <w:t xml:space="preserve">Significant work in the mergers and acquisition area in attempts to sell Merchant Energy Group and in attempts to purchase assets within the United States. </w:t>
      </w:r>
    </w:p>
    <w:p>
      <w:pPr>
        <w:pStyle w:val="Normal"/>
        <w:numPr>
          <w:ilvl w:val="0"/>
          <w:numId w:val="6"/>
        </w:numPr>
        <w:tabs>
          <w:tab w:val="clear" w:pos="720"/>
          <w:tab w:val="left" w:pos="2520" w:leader="none"/>
        </w:tabs>
        <w:ind w:hanging="360" w:start="2520" w:end="0"/>
        <w:rPr/>
      </w:pPr>
      <w:r>
        <w:rPr/>
        <w:t>Drafted various documents including Stock Purchase Agreements, Limited Liability Company Agreements, and Asset Purchase Agreements.</w:t>
      </w:r>
    </w:p>
    <w:p>
      <w:pPr>
        <w:pStyle w:val="Normal"/>
        <w:numPr>
          <w:ilvl w:val="0"/>
          <w:numId w:val="6"/>
        </w:numPr>
        <w:tabs>
          <w:tab w:val="clear" w:pos="720"/>
          <w:tab w:val="left" w:pos="2520" w:leader="none"/>
        </w:tabs>
        <w:ind w:hanging="360" w:start="2520" w:end="0"/>
        <w:rPr/>
      </w:pPr>
      <w:r>
        <w:rPr/>
        <w:t>Thorough understanding of SEC and FTC rules.</w:t>
      </w:r>
    </w:p>
    <w:p>
      <w:pPr>
        <w:pStyle w:val="Normal"/>
        <w:numPr>
          <w:ilvl w:val="0"/>
          <w:numId w:val="6"/>
        </w:numPr>
        <w:tabs>
          <w:tab w:val="clear" w:pos="720"/>
          <w:tab w:val="left" w:pos="2520" w:leader="none"/>
        </w:tabs>
        <w:ind w:hanging="360" w:start="2520" w:end="0"/>
        <w:rPr/>
      </w:pPr>
      <w:r>
        <w:rPr/>
        <w:t xml:space="preserve">Responsible for drafting, reviewing and recommending all counter-party contracts and agreements.  </w:t>
      </w:r>
    </w:p>
    <w:p>
      <w:pPr>
        <w:pStyle w:val="Normal"/>
        <w:numPr>
          <w:ilvl w:val="0"/>
          <w:numId w:val="6"/>
        </w:numPr>
        <w:tabs>
          <w:tab w:val="clear" w:pos="720"/>
          <w:tab w:val="left" w:pos="2520" w:leader="none"/>
        </w:tabs>
        <w:ind w:hanging="360" w:start="2520" w:end="0"/>
        <w:rPr/>
      </w:pPr>
      <w:r>
        <w:rPr/>
        <w:t>Responsible for making recommendations and negotiating all contracts impacting the company including software license agreements, confidentiality agreements, guaranty agreements, letters of credit, lease agreements, utility agreements, trading floor technical systems, performance bonds and all other ancillary services.</w:t>
      </w:r>
    </w:p>
    <w:p>
      <w:pPr>
        <w:pStyle w:val="Normal"/>
        <w:numPr>
          <w:ilvl w:val="0"/>
          <w:numId w:val="6"/>
        </w:numPr>
        <w:tabs>
          <w:tab w:val="clear" w:pos="720"/>
          <w:tab w:val="left" w:pos="2520" w:leader="none"/>
        </w:tabs>
        <w:ind w:hanging="360" w:start="2520" w:end="0"/>
        <w:rPr/>
      </w:pPr>
      <w:r>
        <w:rPr/>
        <w:t>Provide legal support to all other company departments including financial accounting, credit, operational accounting, confirmations, corporate development, origination, human resources and the trading floor.</w:t>
      </w:r>
    </w:p>
    <w:p>
      <w:pPr>
        <w:pStyle w:val="Normal"/>
        <w:numPr>
          <w:ilvl w:val="0"/>
          <w:numId w:val="6"/>
        </w:numPr>
        <w:tabs>
          <w:tab w:val="clear" w:pos="720"/>
          <w:tab w:val="left" w:pos="2520" w:leader="none"/>
        </w:tabs>
        <w:ind w:hanging="360" w:start="2520" w:end="0"/>
        <w:rPr/>
      </w:pPr>
      <w:r>
        <w:rPr/>
        <w:t>Developed various company policies including Tax Policy, Contract Documentation Policy, Confidentiality Agreement Policy, Internal Auditing Policy and a Human Resources Policy.</w:t>
      </w:r>
    </w:p>
    <w:p>
      <w:pPr>
        <w:pStyle w:val="Normal"/>
        <w:numPr>
          <w:ilvl w:val="0"/>
          <w:numId w:val="6"/>
        </w:numPr>
        <w:tabs>
          <w:tab w:val="clear" w:pos="720"/>
          <w:tab w:val="left" w:pos="2520" w:leader="none"/>
        </w:tabs>
        <w:ind w:hanging="360" w:start="2520" w:end="0"/>
        <w:rPr/>
      </w:pPr>
      <w:r>
        <w:rPr/>
        <w:t xml:space="preserve">Advise Merchant Energy Group on all aspects of human resources.  Created the company’s hiring policy, employee handbook, termination policy and conduct various internal seminars ranging from sexual harassment to performance evaluations.  </w:t>
      </w:r>
    </w:p>
    <w:p>
      <w:pPr>
        <w:pStyle w:val="Normal"/>
        <w:numPr>
          <w:ilvl w:val="0"/>
          <w:numId w:val="6"/>
        </w:numPr>
        <w:tabs>
          <w:tab w:val="clear" w:pos="720"/>
          <w:tab w:val="left" w:pos="2520" w:leader="none"/>
        </w:tabs>
        <w:ind w:hanging="360" w:start="2520" w:end="0"/>
        <w:rPr/>
      </w:pPr>
      <w:r>
        <w:rPr/>
        <w:t>Advise Merchant Energy Group all aspects of accounting, taxation and other pertinent corporate affairs.</w:t>
      </w:r>
    </w:p>
    <w:p>
      <w:pPr>
        <w:pStyle w:val="Normal"/>
        <w:numPr>
          <w:ilvl w:val="0"/>
          <w:numId w:val="6"/>
        </w:numPr>
        <w:tabs>
          <w:tab w:val="clear" w:pos="720"/>
          <w:tab w:val="left" w:pos="2520" w:leader="none"/>
        </w:tabs>
        <w:ind w:hanging="360" w:start="2520" w:end="0"/>
        <w:rPr/>
      </w:pPr>
      <w:r>
        <w:rPr/>
        <w:t>Liaison between Merchant Energy Group and all outside legal counsel.  Sole authority to select and manage all outside counsel activity.</w:t>
      </w:r>
    </w:p>
    <w:p>
      <w:pPr>
        <w:pStyle w:val="Normal"/>
        <w:numPr>
          <w:ilvl w:val="0"/>
          <w:numId w:val="6"/>
        </w:numPr>
        <w:tabs>
          <w:tab w:val="clear" w:pos="720"/>
          <w:tab w:val="left" w:pos="2520" w:leader="none"/>
        </w:tabs>
        <w:ind w:hanging="360" w:start="2520" w:end="0"/>
        <w:rPr/>
      </w:pPr>
      <w:r>
        <w:rPr/>
        <w:t>Worked on a number of asset allocation and origination bids which included data room due diligence.</w:t>
      </w:r>
    </w:p>
    <w:p>
      <w:pPr>
        <w:pStyle w:val="Normal"/>
        <w:numPr>
          <w:ilvl w:val="0"/>
          <w:numId w:val="6"/>
        </w:numPr>
        <w:tabs>
          <w:tab w:val="clear" w:pos="720"/>
          <w:tab w:val="left" w:pos="2520" w:leader="none"/>
        </w:tabs>
        <w:ind w:hanging="360" w:start="2520" w:end="0"/>
        <w:rPr/>
      </w:pPr>
      <w:r>
        <w:rPr/>
        <w:t>Guest speaker at various seminars across the country for Merchant Energy Group.</w:t>
      </w:r>
    </w:p>
    <w:p>
      <w:pPr>
        <w:pStyle w:val="Normal"/>
        <w:rPr/>
      </w:pPr>
      <w:r>
        <w:rPr/>
      </w:r>
    </w:p>
    <w:p>
      <w:pPr>
        <w:pStyle w:val="Normal"/>
        <w:ind w:firstLine="720" w:start="1440" w:end="0"/>
        <w:rPr/>
      </w:pPr>
      <w:r>
        <w:rPr/>
        <w:t xml:space="preserve">      </w:t>
      </w:r>
      <w:r>
        <w:rPr>
          <w:b/>
        </w:rPr>
        <w:t>MORGAN STANLEY DEAN WITTER &amp; COMPANY</w:t>
      </w:r>
    </w:p>
    <w:p>
      <w:pPr>
        <w:pStyle w:val="Normal"/>
        <w:rPr/>
      </w:pPr>
      <w:r>
        <w:rPr/>
        <w:tab/>
        <w:tab/>
        <w:tab/>
        <w:t xml:space="preserve">      Professional:</w:t>
        <w:tab/>
        <w:tab/>
        <w:tab/>
        <w:t>Manhattan, NY (April 1996-April 1998)</w:t>
      </w:r>
    </w:p>
    <w:p>
      <w:pPr>
        <w:pStyle w:val="Normal"/>
        <w:numPr>
          <w:ilvl w:val="0"/>
          <w:numId w:val="5"/>
        </w:numPr>
        <w:tabs>
          <w:tab w:val="clear" w:pos="720"/>
          <w:tab w:val="left" w:pos="2520" w:leader="none"/>
        </w:tabs>
        <w:ind w:hanging="360" w:start="2520" w:end="0"/>
        <w:rPr/>
      </w:pPr>
      <w:r>
        <w:rPr/>
        <w:t xml:space="preserve">Started with Morgan Stanley Capital Group in its initial operation of its electricity desk and was an important part of the business team.  </w:t>
      </w:r>
    </w:p>
    <w:p>
      <w:pPr>
        <w:pStyle w:val="Normal"/>
        <w:numPr>
          <w:ilvl w:val="0"/>
          <w:numId w:val="5"/>
        </w:numPr>
        <w:tabs>
          <w:tab w:val="clear" w:pos="720"/>
          <w:tab w:val="left" w:pos="2520" w:leader="none"/>
        </w:tabs>
        <w:ind w:hanging="360" w:start="2520" w:end="0"/>
        <w:rPr/>
      </w:pPr>
      <w:r>
        <w:rPr/>
        <w:t xml:space="preserve">Significantly involved with negotiations and strategy regarding legal issues with all counter-party short-term and long-term electricity transactions. </w:t>
      </w:r>
    </w:p>
    <w:p>
      <w:pPr>
        <w:pStyle w:val="Normal"/>
        <w:numPr>
          <w:ilvl w:val="0"/>
          <w:numId w:val="2"/>
        </w:numPr>
        <w:tabs>
          <w:tab w:val="clear" w:pos="720"/>
          <w:tab w:val="left" w:pos="2520" w:leader="none"/>
        </w:tabs>
        <w:ind w:hanging="360" w:start="2520" w:end="0"/>
        <w:rPr/>
      </w:pPr>
      <w:r>
        <w:rPr/>
        <w:t>Negotiated electric, natural gas physical and derivative contracts, including master purchase and sale agreements, electric transmission service agreements and tariffs and all ISDA master documents.</w:t>
      </w:r>
    </w:p>
    <w:p>
      <w:pPr>
        <w:pStyle w:val="Normal"/>
        <w:numPr>
          <w:ilvl w:val="0"/>
          <w:numId w:val="2"/>
        </w:numPr>
        <w:tabs>
          <w:tab w:val="clear" w:pos="720"/>
          <w:tab w:val="left" w:pos="2520" w:leader="none"/>
        </w:tabs>
        <w:ind w:hanging="360" w:start="2520" w:end="0"/>
        <w:rPr/>
      </w:pPr>
      <w:r>
        <w:rPr/>
        <w:t xml:space="preserve">Negotiated parent guarantee documents, net-out clauses and letters of credit. </w:t>
      </w:r>
    </w:p>
    <w:p>
      <w:pPr>
        <w:pStyle w:val="Normal"/>
        <w:numPr>
          <w:ilvl w:val="0"/>
          <w:numId w:val="2"/>
        </w:numPr>
        <w:tabs>
          <w:tab w:val="clear" w:pos="720"/>
          <w:tab w:val="left" w:pos="2520" w:leader="none"/>
        </w:tabs>
        <w:ind w:hanging="360" w:start="2520" w:end="0"/>
        <w:rPr/>
      </w:pPr>
      <w:r>
        <w:rPr/>
        <w:t>Was responsible for all long-term electric transmission forecasting.</w:t>
      </w:r>
    </w:p>
    <w:p>
      <w:pPr>
        <w:pStyle w:val="Normal"/>
        <w:numPr>
          <w:ilvl w:val="0"/>
          <w:numId w:val="2"/>
        </w:numPr>
        <w:tabs>
          <w:tab w:val="clear" w:pos="720"/>
          <w:tab w:val="left" w:pos="2520" w:leader="none"/>
        </w:tabs>
        <w:ind w:hanging="360" w:start="2520" w:end="0"/>
        <w:rPr/>
      </w:pPr>
      <w:r>
        <w:rPr/>
        <w:t>Complete knowledge of the internet-based trading systems.</w:t>
      </w:r>
    </w:p>
    <w:p>
      <w:pPr>
        <w:pStyle w:val="Normal"/>
        <w:numPr>
          <w:ilvl w:val="0"/>
          <w:numId w:val="2"/>
        </w:numPr>
        <w:tabs>
          <w:tab w:val="clear" w:pos="720"/>
          <w:tab w:val="left" w:pos="2520" w:leader="none"/>
        </w:tabs>
        <w:ind w:hanging="360" w:start="2520" w:end="0"/>
        <w:rPr/>
      </w:pPr>
      <w:r>
        <w:rPr/>
        <w:t>Complete knowledge of the physical scheduling of electricity in all of the trading hubs within the United States.</w:t>
      </w:r>
    </w:p>
    <w:p>
      <w:pPr>
        <w:pStyle w:val="Normal"/>
        <w:numPr>
          <w:ilvl w:val="0"/>
          <w:numId w:val="2"/>
        </w:numPr>
        <w:tabs>
          <w:tab w:val="clear" w:pos="720"/>
          <w:tab w:val="left" w:pos="2520" w:leader="none"/>
        </w:tabs>
        <w:ind w:hanging="360" w:start="2520" w:end="0"/>
        <w:rPr/>
      </w:pPr>
      <w:r>
        <w:rPr/>
        <w:t>Limited next-day physical trading experience.</w:t>
      </w:r>
    </w:p>
    <w:p>
      <w:pPr>
        <w:pStyle w:val="Normal"/>
        <w:rPr/>
      </w:pPr>
      <w:r>
        <w:rPr/>
      </w:r>
    </w:p>
    <w:p>
      <w:pPr>
        <w:pStyle w:val="Normal"/>
        <w:ind w:start="2520" w:end="0"/>
        <w:rPr>
          <w:b/>
        </w:rPr>
      </w:pPr>
      <w:r>
        <w:rPr>
          <w:b/>
        </w:rPr>
        <w:t>ALLEN RODMAN, P.C.</w:t>
      </w:r>
    </w:p>
    <w:p>
      <w:pPr>
        <w:pStyle w:val="Normal"/>
        <w:ind w:start="2520" w:end="0"/>
        <w:rPr/>
      </w:pPr>
      <w:r>
        <w:rPr/>
        <w:t xml:space="preserve">Associate:      </w:t>
        <w:tab/>
        <w:tab/>
        <w:tab/>
        <w:t>Boston, MA (January 1992-April 1996)</w:t>
      </w:r>
    </w:p>
    <w:p>
      <w:pPr>
        <w:pStyle w:val="Normal"/>
        <w:numPr>
          <w:ilvl w:val="0"/>
          <w:numId w:val="7"/>
        </w:numPr>
        <w:tabs>
          <w:tab w:val="clear" w:pos="720"/>
          <w:tab w:val="left" w:pos="2520" w:leader="none"/>
        </w:tabs>
        <w:ind w:hanging="360" w:start="2520" w:end="0"/>
        <w:rPr/>
      </w:pPr>
      <w:r>
        <w:rPr/>
        <w:t>Was responsible for the management and control of more than one hundred and fifty active plaintiff cases in the areas of: plaintiffs’ employment litigation, sexual harassment, products liability, breast implant, asbestos and tobacco.</w:t>
      </w:r>
    </w:p>
    <w:p>
      <w:pPr>
        <w:pStyle w:val="Normal"/>
        <w:numPr>
          <w:ilvl w:val="0"/>
          <w:numId w:val="7"/>
        </w:numPr>
        <w:tabs>
          <w:tab w:val="clear" w:pos="720"/>
          <w:tab w:val="left" w:pos="2520" w:leader="none"/>
        </w:tabs>
        <w:ind w:hanging="360" w:start="2520" w:end="0"/>
        <w:rPr/>
      </w:pPr>
      <w:r>
        <w:rPr/>
        <w:t>Extensive litigation case load and litigation experience including jury trials and bench trials in the Superior Courts and District Courts of Massachusetts, including significant trial preparation work.</w:t>
      </w:r>
    </w:p>
    <w:p>
      <w:pPr>
        <w:pStyle w:val="Normal"/>
        <w:numPr>
          <w:ilvl w:val="0"/>
          <w:numId w:val="7"/>
        </w:numPr>
        <w:tabs>
          <w:tab w:val="clear" w:pos="720"/>
          <w:tab w:val="left" w:pos="2520" w:leader="none"/>
        </w:tabs>
        <w:ind w:hanging="360" w:start="2520" w:end="0"/>
        <w:rPr/>
      </w:pPr>
      <w:r>
        <w:rPr/>
        <w:t>Considerable experience arbitrating and mediating cases through various ADR programs.  Thorough negotiation experience in the settlement of cases prior to litigation.</w:t>
      </w:r>
    </w:p>
    <w:p>
      <w:pPr>
        <w:pStyle w:val="Normal"/>
        <w:numPr>
          <w:ilvl w:val="0"/>
          <w:numId w:val="7"/>
        </w:numPr>
        <w:tabs>
          <w:tab w:val="clear" w:pos="720"/>
          <w:tab w:val="left" w:pos="2520" w:leader="none"/>
        </w:tabs>
        <w:ind w:hanging="360" w:start="2520" w:end="0"/>
        <w:rPr/>
      </w:pPr>
      <w:r>
        <w:rPr/>
        <w:t>Considerable appellate experience in the Massachusetts’ Court of Appeals and the Supreme Judicial Court.</w:t>
      </w:r>
    </w:p>
    <w:p>
      <w:pPr>
        <w:pStyle w:val="Heading1"/>
        <w:rPr>
          <w:sz w:val="20"/>
        </w:rPr>
      </w:pPr>
      <w:r>
        <w:rPr>
          <w:sz w:val="20"/>
        </w:rPr>
      </w:r>
    </w:p>
    <w:p>
      <w:pPr>
        <w:pStyle w:val="Heading1"/>
        <w:ind w:firstLine="360" w:start="2160" w:end="0"/>
        <w:rPr>
          <w:sz w:val="20"/>
        </w:rPr>
      </w:pPr>
      <w:r>
        <w:rPr>
          <w:sz w:val="20"/>
        </w:rPr>
        <w:t>CITY OF MALDEN SOLICITOR’S OFFICE</w:t>
      </w:r>
    </w:p>
    <w:p>
      <w:pPr>
        <w:pStyle w:val="Normal"/>
        <w:ind w:start="2520" w:end="0"/>
        <w:rPr/>
      </w:pPr>
      <w:r>
        <w:rPr/>
        <w:t xml:space="preserve">Assistant City Solicitor:  </w:t>
        <w:tab/>
        <w:tab/>
        <w:tab/>
        <w:t>Malden, MA (Jan. 1989-Jan.1992)</w:t>
      </w:r>
    </w:p>
    <w:p>
      <w:pPr>
        <w:pStyle w:val="Normal"/>
        <w:numPr>
          <w:ilvl w:val="0"/>
          <w:numId w:val="3"/>
        </w:numPr>
        <w:tabs>
          <w:tab w:val="clear" w:pos="720"/>
          <w:tab w:val="left" w:pos="0" w:leader="none"/>
          <w:tab w:val="left" w:pos="2520" w:leader="none"/>
        </w:tabs>
        <w:ind w:hanging="360" w:start="2520" w:end="0"/>
        <w:rPr/>
      </w:pPr>
      <w:r>
        <w:rPr/>
        <w:t>Prepared and defended cases in all Massachusetts Courts involving issues of: labor employment, police brutality, civil rights, sexual abuse, discrimination, land use law and general negligence law.</w:t>
      </w:r>
    </w:p>
    <w:p>
      <w:pPr>
        <w:pStyle w:val="Normal"/>
        <w:numPr>
          <w:ilvl w:val="0"/>
          <w:numId w:val="3"/>
        </w:numPr>
        <w:tabs>
          <w:tab w:val="clear" w:pos="720"/>
          <w:tab w:val="left" w:pos="0" w:leader="none"/>
          <w:tab w:val="left" w:pos="2520" w:leader="none"/>
        </w:tabs>
        <w:ind w:hanging="360" w:start="2520" w:end="0"/>
        <w:rPr/>
      </w:pPr>
      <w:r>
        <w:rPr/>
        <w:t>Represented the city of Malden at all state and local agencies and boards.</w:t>
      </w:r>
    </w:p>
    <w:p>
      <w:pPr>
        <w:pStyle w:val="Normal"/>
        <w:numPr>
          <w:ilvl w:val="0"/>
          <w:numId w:val="3"/>
        </w:numPr>
        <w:tabs>
          <w:tab w:val="clear" w:pos="720"/>
          <w:tab w:val="left" w:pos="0" w:leader="none"/>
          <w:tab w:val="left" w:pos="2520" w:leader="none"/>
        </w:tabs>
        <w:ind w:hanging="360" w:start="2520" w:end="0"/>
        <w:rPr/>
      </w:pPr>
      <w:r>
        <w:rPr/>
        <w:t>Supervised, managed, oversaw and assigned cases within the department to other assistant city solicitors and law clerks.</w:t>
      </w:r>
    </w:p>
    <w:p>
      <w:pPr>
        <w:pStyle w:val="Normal"/>
        <w:numPr>
          <w:ilvl w:val="0"/>
          <w:numId w:val="3"/>
        </w:numPr>
        <w:tabs>
          <w:tab w:val="clear" w:pos="720"/>
          <w:tab w:val="left" w:pos="0" w:leader="none"/>
          <w:tab w:val="left" w:pos="2520" w:leader="none"/>
        </w:tabs>
        <w:ind w:hanging="360" w:start="2520" w:end="0"/>
        <w:rPr/>
      </w:pPr>
      <w:r>
        <w:rPr/>
        <w:t>Extensive deposition experiences and videotaped expert depositions.</w:t>
      </w:r>
    </w:p>
    <w:p>
      <w:pPr>
        <w:pStyle w:val="Normal"/>
        <w:numPr>
          <w:ilvl w:val="0"/>
          <w:numId w:val="3"/>
        </w:numPr>
        <w:tabs>
          <w:tab w:val="clear" w:pos="720"/>
          <w:tab w:val="left" w:pos="0" w:leader="none"/>
          <w:tab w:val="left" w:pos="2520" w:leader="none"/>
        </w:tabs>
        <w:ind w:hanging="360" w:start="2520" w:end="0"/>
        <w:rPr/>
      </w:pPr>
      <w:r>
        <w:rPr/>
        <w:t>Significant jury trials and bench trials in the Superior and District Courts of Massachusetts.</w:t>
      </w:r>
    </w:p>
    <w:p>
      <w:pPr>
        <w:pStyle w:val="Normal"/>
        <w:tabs>
          <w:tab w:val="clear" w:pos="720"/>
          <w:tab w:val="left" w:pos="0" w:leader="none"/>
        </w:tabs>
        <w:rPr/>
      </w:pPr>
      <w:r>
        <w:rPr/>
      </w:r>
    </w:p>
    <w:p>
      <w:pPr>
        <w:pStyle w:val="Heading1"/>
        <w:tabs>
          <w:tab w:val="clear" w:pos="720"/>
          <w:tab w:val="left" w:pos="0" w:leader="none"/>
        </w:tabs>
        <w:rPr>
          <w:sz w:val="20"/>
        </w:rPr>
      </w:pPr>
      <w:r>
        <w:rPr>
          <w:sz w:val="20"/>
        </w:rPr>
        <w:t>OFFICE OF RAPAPORT, LATHROP &amp; TYPADIS</w:t>
      </w:r>
    </w:p>
    <w:p>
      <w:pPr>
        <w:pStyle w:val="Normal"/>
        <w:tabs>
          <w:tab w:val="clear" w:pos="720"/>
          <w:tab w:val="left" w:pos="0" w:leader="none"/>
        </w:tabs>
        <w:ind w:start="2520" w:end="0"/>
        <w:rPr/>
      </w:pPr>
      <w:r>
        <w:rPr/>
        <w:t xml:space="preserve">Associate:     </w:t>
        <w:tab/>
        <w:tab/>
        <w:tab/>
        <w:tab/>
        <w:t>Boston, MA (Jan. 1987 –Oct. 1990)</w:t>
      </w:r>
    </w:p>
    <w:p>
      <w:pPr>
        <w:pStyle w:val="Normal"/>
        <w:numPr>
          <w:ilvl w:val="0"/>
          <w:numId w:val="4"/>
        </w:numPr>
        <w:tabs>
          <w:tab w:val="clear" w:pos="720"/>
          <w:tab w:val="left" w:pos="0" w:leader="none"/>
          <w:tab w:val="left" w:pos="2520" w:leader="none"/>
        </w:tabs>
        <w:ind w:hanging="360" w:start="2520" w:end="0"/>
        <w:rPr/>
      </w:pPr>
      <w:r>
        <w:rPr/>
        <w:t>Responsibilities included representing clients in motion hearings, pre-trial conferences and various other states of litigation.</w:t>
      </w:r>
    </w:p>
    <w:p>
      <w:pPr>
        <w:pStyle w:val="Normal"/>
        <w:numPr>
          <w:ilvl w:val="0"/>
          <w:numId w:val="4"/>
        </w:numPr>
        <w:tabs>
          <w:tab w:val="clear" w:pos="720"/>
          <w:tab w:val="left" w:pos="0" w:leader="none"/>
          <w:tab w:val="left" w:pos="2520" w:leader="none"/>
        </w:tabs>
        <w:ind w:hanging="360" w:start="2520" w:end="0"/>
        <w:rPr/>
      </w:pPr>
      <w:r>
        <w:rPr/>
        <w:t>Second chaired various jury trials.</w:t>
      </w:r>
    </w:p>
    <w:p>
      <w:pPr>
        <w:pStyle w:val="Normal"/>
        <w:numPr>
          <w:ilvl w:val="0"/>
          <w:numId w:val="4"/>
        </w:numPr>
        <w:tabs>
          <w:tab w:val="clear" w:pos="720"/>
          <w:tab w:val="left" w:pos="0" w:leader="none"/>
          <w:tab w:val="left" w:pos="2520" w:leader="none"/>
        </w:tabs>
        <w:ind w:hanging="360" w:start="2520" w:end="0"/>
        <w:rPr/>
      </w:pPr>
      <w:r>
        <w:rPr/>
        <w:t>Prepared all documents in the litigation stage including complaints, pleading and motions, prepared documents for discovery, interviewed clients.</w:t>
      </w:r>
    </w:p>
    <w:p>
      <w:pPr>
        <w:pStyle w:val="Normal"/>
        <w:numPr>
          <w:ilvl w:val="0"/>
          <w:numId w:val="4"/>
        </w:numPr>
        <w:tabs>
          <w:tab w:val="clear" w:pos="720"/>
          <w:tab w:val="left" w:pos="0" w:leader="none"/>
          <w:tab w:val="left" w:pos="2520" w:leader="none"/>
        </w:tabs>
        <w:ind w:hanging="360" w:start="2520" w:end="0"/>
        <w:rPr/>
      </w:pPr>
      <w:r>
        <w:rPr/>
        <w:t>Areas of practice included business litigation, employment law, real estate and general corporate law.</w:t>
      </w:r>
    </w:p>
    <w:p>
      <w:pPr>
        <w:pStyle w:val="Normal"/>
        <w:tabs>
          <w:tab w:val="clear" w:pos="720"/>
          <w:tab w:val="left" w:pos="0" w:leader="none"/>
        </w:tabs>
        <w:rPr/>
      </w:pPr>
      <w:r>
        <w:rPr/>
      </w:r>
    </w:p>
    <w:p>
      <w:pPr>
        <w:pStyle w:val="Normal"/>
        <w:tabs>
          <w:tab w:val="clear" w:pos="720"/>
          <w:tab w:val="left" w:pos="0" w:leader="none"/>
        </w:tabs>
        <w:rPr/>
      </w:pPr>
      <w:r>
        <w:rPr/>
        <w:t>Professional</w:t>
      </w:r>
    </w:p>
    <w:p>
      <w:pPr>
        <w:pStyle w:val="Normal"/>
        <w:tabs>
          <w:tab w:val="clear" w:pos="720"/>
          <w:tab w:val="left" w:pos="0" w:leader="none"/>
        </w:tabs>
        <w:rPr/>
      </w:pPr>
      <w:r>
        <w:rPr/>
        <w:t>Associations:</w:t>
        <w:tab/>
        <w:tab/>
        <w:t xml:space="preserve">        </w:t>
      </w:r>
      <w:r>
        <w:rPr>
          <w:b/>
        </w:rPr>
        <w:t>American Corporate Counsel Association</w:t>
      </w:r>
    </w:p>
    <w:p>
      <w:pPr>
        <w:pStyle w:val="Normal"/>
        <w:tabs>
          <w:tab w:val="clear" w:pos="720"/>
          <w:tab w:val="left" w:pos="0" w:leader="none"/>
        </w:tabs>
        <w:rPr>
          <w:b/>
        </w:rPr>
      </w:pPr>
      <w:r>
        <w:rPr>
          <w:b/>
        </w:rPr>
        <w:tab/>
        <w:tab/>
        <w:tab/>
        <w:t xml:space="preserve">        American Corporate Secretary’s Association</w:t>
      </w:r>
    </w:p>
    <w:p>
      <w:pPr>
        <w:pStyle w:val="Normal"/>
        <w:tabs>
          <w:tab w:val="clear" w:pos="720"/>
          <w:tab w:val="left" w:pos="0" w:leader="none"/>
        </w:tabs>
        <w:rPr>
          <w:b/>
        </w:rPr>
      </w:pPr>
      <w:r>
        <w:rPr>
          <w:b/>
        </w:rPr>
        <w:tab/>
        <w:tab/>
        <w:tab/>
        <w:t xml:space="preserve">        American Bar Association</w:t>
      </w:r>
    </w:p>
    <w:p>
      <w:pPr>
        <w:pStyle w:val="Normal"/>
        <w:tabs>
          <w:tab w:val="clear" w:pos="720"/>
          <w:tab w:val="left" w:pos="0" w:leader="none"/>
        </w:tabs>
        <w:rPr>
          <w:b/>
        </w:rPr>
      </w:pPr>
      <w:r>
        <w:rPr>
          <w:b/>
        </w:rPr>
        <w:tab/>
        <w:tab/>
        <w:tab/>
        <w:t xml:space="preserve">        Energy Bar Association</w:t>
      </w:r>
    </w:p>
    <w:p>
      <w:pPr>
        <w:pStyle w:val="Normal"/>
        <w:tabs>
          <w:tab w:val="clear" w:pos="720"/>
          <w:tab w:val="left" w:pos="0" w:leader="none"/>
        </w:tabs>
        <w:rPr>
          <w:b/>
        </w:rPr>
      </w:pPr>
      <w:r>
        <w:rPr>
          <w:b/>
        </w:rPr>
        <w:tab/>
        <w:tab/>
        <w:tab/>
        <w:t xml:space="preserve">        National Academy of Trial Lawyers</w:t>
      </w:r>
    </w:p>
    <w:p>
      <w:pPr>
        <w:pStyle w:val="Normal"/>
        <w:tabs>
          <w:tab w:val="clear" w:pos="720"/>
          <w:tab w:val="left" w:pos="0" w:leader="none"/>
        </w:tabs>
        <w:rPr>
          <w:b/>
        </w:rPr>
      </w:pPr>
      <w:r>
        <w:rPr>
          <w:b/>
        </w:rPr>
        <w:tab/>
        <w:tab/>
        <w:tab/>
        <w:t xml:space="preserve">        New York City and State Bar Associations</w:t>
      </w:r>
    </w:p>
    <w:p>
      <w:pPr>
        <w:pStyle w:val="Normal"/>
        <w:tabs>
          <w:tab w:val="clear" w:pos="720"/>
          <w:tab w:val="left" w:pos="0" w:leader="none"/>
        </w:tabs>
        <w:rPr>
          <w:b/>
        </w:rPr>
      </w:pPr>
      <w:r>
        <w:rPr>
          <w:b/>
        </w:rPr>
        <w:tab/>
        <w:tab/>
        <w:tab/>
        <w:t xml:space="preserve">        Massachusetts and Boston Bar Associations</w:t>
      </w:r>
    </w:p>
    <w:p>
      <w:pPr>
        <w:pStyle w:val="Normal"/>
        <w:tabs>
          <w:tab w:val="clear" w:pos="720"/>
          <w:tab w:val="left" w:pos="0" w:leader="none"/>
        </w:tabs>
        <w:rPr/>
      </w:pPr>
      <w:r>
        <w:rPr/>
      </w:r>
    </w:p>
    <w:p>
      <w:pPr>
        <w:pStyle w:val="Normal"/>
        <w:tabs>
          <w:tab w:val="clear" w:pos="720"/>
          <w:tab w:val="left" w:pos="0" w:leader="none"/>
        </w:tabs>
        <w:rPr/>
      </w:pPr>
      <w:r>
        <w:rPr/>
        <w:t>Education:</w:t>
        <w:tab/>
        <w:tab/>
        <w:t xml:space="preserve">        NEW ENGLAND SCHOOL OF LAW, Boston, MA</w:t>
      </w:r>
    </w:p>
    <w:p>
      <w:pPr>
        <w:pStyle w:val="Normal"/>
        <w:tabs>
          <w:tab w:val="clear" w:pos="720"/>
          <w:tab w:val="left" w:pos="0" w:leader="none"/>
        </w:tabs>
        <w:rPr/>
      </w:pPr>
      <w:r>
        <w:rPr/>
        <w:tab/>
        <w:tab/>
        <w:tab/>
        <w:t xml:space="preserve">        Juris Doctor Degree, May 1990 – Dean’s List</w:t>
      </w:r>
    </w:p>
    <w:p>
      <w:pPr>
        <w:pStyle w:val="Normal"/>
        <w:tabs>
          <w:tab w:val="clear" w:pos="720"/>
          <w:tab w:val="left" w:pos="0" w:leader="none"/>
        </w:tabs>
        <w:rPr/>
      </w:pPr>
      <w:r>
        <w:rPr/>
      </w:r>
    </w:p>
    <w:p>
      <w:pPr>
        <w:pStyle w:val="Normal"/>
        <w:tabs>
          <w:tab w:val="clear" w:pos="720"/>
          <w:tab w:val="left" w:pos="0" w:leader="none"/>
        </w:tabs>
        <w:rPr/>
      </w:pPr>
      <w:r>
        <w:rPr/>
        <w:tab/>
        <w:tab/>
        <w:tab/>
        <w:t xml:space="preserve">        BOSTON COLLEGE, Chestnut Hill, MA</w:t>
      </w:r>
    </w:p>
    <w:p>
      <w:pPr>
        <w:pStyle w:val="Heading2"/>
        <w:ind w:hanging="0" w:start="0"/>
        <w:rPr>
          <w:sz w:val="20"/>
        </w:rPr>
      </w:pPr>
      <w:r>
        <w:rPr>
          <w:sz w:val="20"/>
        </w:rPr>
        <w:tab/>
        <w:tab/>
        <w:tab/>
        <w:t xml:space="preserve">        Bachelor of Arts Degree, Political Science, 1987</w:t>
      </w:r>
    </w:p>
    <w:sectPr>
      <w:footerReference w:type="default" r:id="rId2"/>
      <w:type w:val="nextPage"/>
      <w:pgSz w:w="12240" w:h="15840"/>
      <w:pgMar w:left="1152" w:right="1152"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45.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IPSpeechSession$" w:val="FALSE"/>
    <w:docVar w:name="IPSpeechSessionSaved$" w:val="FALS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2520" w:end="0"/>
      <w:outlineLvl w:val="0"/>
    </w:pPr>
    <w:rPr>
      <w:b/>
      <w:sz w:val="24"/>
    </w:rPr>
  </w:style>
  <w:style w:type="paragraph" w:styleId="Heading2">
    <w:name w:val="heading 2"/>
    <w:basedOn w:val="Normal"/>
    <w:next w:val="Normal"/>
    <w:qFormat/>
    <w:pPr>
      <w:keepNext w:val="true"/>
      <w:numPr>
        <w:ilvl w:val="1"/>
        <w:numId w:val="1"/>
      </w:numPr>
      <w:tabs>
        <w:tab w:val="clear" w:pos="720"/>
        <w:tab w:val="left" w:pos="0" w:leader="none"/>
      </w:tabs>
      <w:outlineLvl w:val="1"/>
    </w:pPr>
    <w:rPr>
      <w:sz w:val="24"/>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Dictdoc</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2000-04-03T12:27:00Z</dcterms:created>
  <dc:creator>Joseph P. Limone</dc:creator>
  <dc:description/>
  <dc:language>en-CA</dc:language>
  <cp:lastModifiedBy>bsukaly</cp:lastModifiedBy>
  <cp:lastPrinted>2000-04-03T09:56:00Z</cp:lastPrinted>
  <dcterms:modified xsi:type="dcterms:W3CDTF">2000-04-03T12:27:00Z</dcterms:modified>
  <cp:revision>2</cp:revision>
  <dc:subject/>
  <dc:title>Joseph P</dc:title>
</cp:coreProperties>
</file>