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i/>
          <w:i/>
        </w:rPr>
      </w:pPr>
      <w:r>
        <w:rPr>
          <w:i/>
        </w:rPr>
        <w:t>DRAFT</w:t>
      </w:r>
    </w:p>
    <w:p>
      <w:pPr>
        <w:pStyle w:val="Heading1"/>
        <w:ind w:hanging="0" w:start="0"/>
        <w:jc w:val="center"/>
        <w:rPr>
          <w:i/>
          <w:i/>
        </w:rPr>
      </w:pPr>
      <w:r>
        <w:rPr>
          <w:i/>
        </w:rPr>
      </w:r>
    </w:p>
    <w:p>
      <w:pPr>
        <w:pStyle w:val="Heading1"/>
        <w:ind w:hanging="0" w:start="0"/>
        <w:jc w:val="center"/>
        <w:rPr/>
      </w:pPr>
      <w:r>
        <w:rPr/>
        <w:t>Portland General Electric</w:t>
      </w:r>
    </w:p>
    <w:p>
      <w:pPr>
        <w:pStyle w:val="Normal"/>
        <w:jc w:val="center"/>
        <w:rPr/>
      </w:pPr>
      <w:r>
        <w:rPr/>
      </w:r>
    </w:p>
    <w:p>
      <w:pPr>
        <w:pStyle w:val="Heading2"/>
        <w:ind w:hanging="0" w:start="0"/>
        <w:rPr/>
      </w:pPr>
      <w:r>
        <w:rPr/>
        <w:t>Power Supply Book Limits – Power and Gas Books</w:t>
      </w:r>
    </w:p>
    <w:p>
      <w:pPr>
        <w:pStyle w:val="Normal"/>
        <w:jc w:val="center"/>
        <w:rPr>
          <w:sz w:val="24"/>
        </w:rPr>
      </w:pPr>
      <w:r>
        <w:rPr>
          <w:sz w:val="24"/>
        </w:rPr>
      </w:r>
    </w:p>
    <w:p>
      <w:pPr>
        <w:pStyle w:val="Heading2"/>
        <w:ind w:hanging="0" w:start="0"/>
        <w:rPr/>
      </w:pPr>
      <w:r>
        <w:rPr/>
        <w:t>September 6, 2001</w:t>
      </w:r>
    </w:p>
    <w:p>
      <w:pPr>
        <w:pStyle w:val="Normal"/>
        <w:jc w:val="center"/>
        <w:rPr>
          <w:b/>
          <w:sz w:val="24"/>
        </w:rPr>
      </w:pPr>
      <w:r>
        <w:rPr>
          <w:b/>
          <w:sz w:val="24"/>
        </w:rPr>
      </w:r>
    </w:p>
    <w:p>
      <w:pPr>
        <w:pStyle w:val="Normal"/>
        <w:jc w:val="center"/>
        <w:rPr>
          <w:b/>
          <w:sz w:val="24"/>
        </w:rPr>
      </w:pPr>
      <w:r>
        <w:rPr>
          <w:b/>
          <w:sz w:val="24"/>
        </w:rPr>
        <w:t>Exhibit A-1 to the PGE Energy Trading Policies &amp; Procedures</w:t>
      </w:r>
    </w:p>
    <w:p>
      <w:pPr>
        <w:pStyle w:val="Normal"/>
        <w:rPr>
          <w:b/>
          <w:sz w:val="24"/>
        </w:rPr>
      </w:pPr>
      <w:r>
        <w:rPr>
          <w:b/>
          <w:sz w:val="24"/>
        </w:rPr>
      </w:r>
    </w:p>
    <w:p>
      <w:pPr>
        <w:pStyle w:val="Heading2"/>
        <w:ind w:hanging="0" w:start="0"/>
        <w:rPr>
          <w:u w:val="single"/>
        </w:rPr>
      </w:pPr>
      <w:r>
        <w:rPr>
          <w:u w:val="single"/>
        </w:rPr>
        <w:t>Regulated Book</w:t>
      </w:r>
    </w:p>
    <w:p>
      <w:pPr>
        <w:pStyle w:val="Normal"/>
        <w:rPr>
          <w:u w:val="single"/>
        </w:rPr>
      </w:pPr>
      <w:r>
        <w:rPr>
          <w:u w:val="single"/>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Power</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Gas</w:t>
            </w:r>
          </w:p>
        </w:tc>
      </w:tr>
      <w:tr>
        <w:trPr>
          <w:trHeight w:val="1763" w:hRule="atLeast"/>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Monthly Position Limit</w:t>
            </w:r>
          </w:p>
          <w:p>
            <w:pPr>
              <w:pStyle w:val="Normal"/>
              <w:rPr>
                <w:b/>
              </w:rPr>
            </w:pPr>
            <w:r>
              <w:rPr>
                <w:b/>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Heading4"/>
              <w:ind w:hanging="0" w:start="0"/>
              <w:rPr/>
            </w:pPr>
            <w:r>
              <w:rPr/>
              <w:t>Rolling 12 Months</w:t>
            </w:r>
          </w:p>
          <w:p>
            <w:pPr>
              <w:pStyle w:val="Normal"/>
              <w:jc w:val="center"/>
              <w:rPr/>
            </w:pPr>
            <w:r>
              <w:rPr/>
              <w:t>Jan – Mar  300 MWa</w:t>
            </w:r>
          </w:p>
          <w:p>
            <w:pPr>
              <w:pStyle w:val="Normal"/>
              <w:jc w:val="center"/>
              <w:rPr/>
            </w:pPr>
            <w:r>
              <w:rPr/>
              <w:t>Apr – Jun  500 MWa</w:t>
            </w:r>
          </w:p>
          <w:p>
            <w:pPr>
              <w:pStyle w:val="Normal"/>
              <w:jc w:val="center"/>
              <w:rPr/>
            </w:pPr>
            <w:r>
              <w:rPr/>
              <w:t>Jul – Sep  300 MWa</w:t>
            </w:r>
          </w:p>
          <w:p>
            <w:pPr>
              <w:pStyle w:val="Normal"/>
              <w:jc w:val="center"/>
              <w:rPr/>
            </w:pPr>
            <w:r>
              <w:rPr/>
              <w:t>Oct – Dec 300 MWa</w:t>
            </w:r>
          </w:p>
          <w:p>
            <w:pPr>
              <w:pStyle w:val="Normal"/>
              <w:jc w:val="center"/>
              <w:rPr/>
            </w:pPr>
            <w:r>
              <w:rPr/>
            </w:r>
          </w:p>
          <w:p>
            <w:pPr>
              <w:pStyle w:val="Heading4"/>
              <w:ind w:hanging="0" w:start="0"/>
              <w:rPr/>
            </w:pPr>
            <w:r>
              <w:rPr/>
              <w:t>Rolling 13-24 Months</w:t>
            </w:r>
          </w:p>
          <w:p>
            <w:pPr>
              <w:pStyle w:val="Normal"/>
              <w:jc w:val="center"/>
              <w:rPr/>
            </w:pPr>
            <w:r>
              <w:rPr/>
              <w:t>Jan – Mar  400 MWa</w:t>
            </w:r>
          </w:p>
          <w:p>
            <w:pPr>
              <w:pStyle w:val="Normal"/>
              <w:jc w:val="center"/>
              <w:rPr/>
            </w:pPr>
            <w:r>
              <w:rPr/>
              <w:t>Apr – Jun  600 MWa</w:t>
            </w:r>
          </w:p>
          <w:p>
            <w:pPr>
              <w:pStyle w:val="Normal"/>
              <w:jc w:val="center"/>
              <w:rPr/>
            </w:pPr>
            <w:r>
              <w:rPr/>
              <w:t>Jul – Sep   400 MWa</w:t>
            </w:r>
          </w:p>
          <w:p>
            <w:pPr>
              <w:pStyle w:val="Normal"/>
              <w:jc w:val="center"/>
              <w:rPr/>
            </w:pPr>
            <w:r>
              <w:rPr/>
              <w:t>Oct – Dec  400 MWa</w:t>
            </w:r>
          </w:p>
          <w:p>
            <w:pPr>
              <w:pStyle w:val="Normal"/>
              <w:jc w:val="center"/>
              <w:rPr/>
            </w:pPr>
            <w:r>
              <w:rPr/>
            </w:r>
          </w:p>
          <w:p>
            <w:pPr>
              <w:pStyle w:val="Normal"/>
              <w:jc w:val="center"/>
              <w:rPr/>
            </w:pPr>
            <w:r>
              <w:rPr/>
              <w:t>Not to exceed greater than 150% of the overall monthly MWa limit in either the on-peak or off-peak positions.</w:t>
            </w:r>
          </w:p>
          <w:p>
            <w:pPr>
              <w:pStyle w:val="Normal"/>
              <w:jc w:val="center"/>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Heading4"/>
              <w:ind w:hanging="0" w:start="0"/>
              <w:rPr/>
            </w:pPr>
            <w:r>
              <w:rPr/>
              <w:t>Rolling 12 Months</w:t>
            </w:r>
          </w:p>
          <w:p>
            <w:pPr>
              <w:pStyle w:val="Normal"/>
              <w:jc w:val="center"/>
              <w:rPr/>
            </w:pPr>
            <w:r>
              <w:rPr/>
              <w:t xml:space="preserve">20,000 MMBtu/day </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Heading4"/>
              <w:ind w:hanging="0" w:start="0"/>
              <w:rPr/>
            </w:pPr>
            <w:r>
              <w:rPr/>
              <w:t>Rolling 13-24 Months</w:t>
            </w:r>
          </w:p>
          <w:p>
            <w:pPr>
              <w:pStyle w:val="Normal"/>
              <w:jc w:val="center"/>
              <w:rPr/>
            </w:pPr>
            <w:r>
              <w:rPr/>
              <w:t>40,000 MMBtu/day</w:t>
            </w:r>
          </w:p>
        </w:tc>
      </w:tr>
      <w:tr>
        <w:trPr>
          <w:trHeight w:val="773" w:hRule="atLeast"/>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Total Net Open Position</w:t>
            </w:r>
          </w:p>
          <w:p>
            <w:pPr>
              <w:pStyle w:val="Normal"/>
              <w:rPr>
                <w:b/>
              </w:rPr>
            </w:pPr>
            <w:r>
              <w:rPr>
                <w:b/>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pPr>
            <w:r>
              <w:rPr/>
              <w:t>6,500,000 MWh</w:t>
            </w:r>
          </w:p>
          <w:p>
            <w:pPr>
              <w:pStyle w:val="Normal"/>
              <w:jc w:val="center"/>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i/>
                <w:i/>
              </w:rPr>
            </w:pPr>
            <w:r>
              <w:rPr>
                <w:i/>
              </w:rPr>
              <w:t>10 or 17 Bcf</w:t>
            </w:r>
          </w:p>
          <w:p>
            <w:pPr>
              <w:pStyle w:val="Normal"/>
              <w:jc w:val="center"/>
              <w:rPr>
                <w:i/>
                <w:i/>
              </w:rPr>
            </w:pPr>
            <w:r>
              <w:rPr>
                <w:i/>
              </w:rPr>
            </w:r>
          </w:p>
        </w:tc>
      </w:tr>
      <w:tr>
        <w:trPr>
          <w:trHeight w:val="782" w:hRule="atLeast"/>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Maturity/Gap Position Risk</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pPr>
            <w:r>
              <w:rPr/>
              <w:t>6,500,000 MWh</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i/>
                <w:i/>
              </w:rPr>
            </w:pPr>
            <w:r>
              <w:rPr>
                <w:i/>
              </w:rPr>
              <w:t>10 or 17 Bcf</w:t>
            </w:r>
          </w:p>
          <w:p>
            <w:pPr>
              <w:pStyle w:val="Normal"/>
              <w:jc w:val="center"/>
              <w:rPr>
                <w:i/>
                <w:i/>
              </w:rPr>
            </w:pPr>
            <w:r>
              <w:rPr>
                <w:i/>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Potential Exposure (Value-at-Risk)</w:t>
            </w:r>
          </w:p>
          <w:p>
            <w:pPr>
              <w:pStyle w:val="Normal"/>
              <w:rPr>
                <w:b/>
              </w:rPr>
            </w:pPr>
            <w:r>
              <w:rPr>
                <w:b/>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i/>
                <w:i/>
              </w:rPr>
            </w:pPr>
            <w:r>
              <w:rPr>
                <w:i/>
              </w:rPr>
              <w:t>$8 or $7.5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i/>
                <w:i/>
              </w:rPr>
            </w:pPr>
            <w:r>
              <w:rPr>
                <w:i/>
              </w:rPr>
            </w:r>
          </w:p>
          <w:p>
            <w:pPr>
              <w:pStyle w:val="Normal"/>
              <w:jc w:val="center"/>
              <w:rPr>
                <w:i/>
                <w:i/>
              </w:rPr>
            </w:pPr>
            <w:r>
              <w:rPr>
                <w:i/>
              </w:rPr>
              <w:t>$2 or $2.5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i/>
                <w:i/>
              </w:rPr>
            </w:pPr>
            <w:r>
              <w:rPr>
                <w:b/>
                <w:i/>
              </w:rPr>
            </w:r>
          </w:p>
          <w:p>
            <w:pPr>
              <w:pStyle w:val="Normal"/>
              <w:rPr>
                <w:b/>
              </w:rPr>
            </w:pPr>
            <w:r>
              <w:rPr>
                <w:b/>
              </w:rPr>
              <w:t>Loss Notifications</w:t>
            </w:r>
          </w:p>
          <w:p>
            <w:pPr>
              <w:pStyle w:val="Normal"/>
              <w:rPr/>
            </w:pPr>
            <w:r>
              <w:rPr/>
              <w:t xml:space="preserve">          </w:t>
            </w:r>
            <w:r>
              <w:rPr/>
              <w:t>Daily Loss (100% of VaR)</w:t>
            </w:r>
          </w:p>
          <w:p>
            <w:pPr>
              <w:pStyle w:val="Normal"/>
              <w:rPr/>
            </w:pPr>
            <w:r>
              <w:rPr/>
            </w:r>
          </w:p>
          <w:p>
            <w:pPr>
              <w:pStyle w:val="Normal"/>
              <w:rPr/>
            </w:pPr>
            <w:r>
              <w:rPr/>
              <w:t xml:space="preserve">          </w:t>
            </w:r>
          </w:p>
          <w:p>
            <w:pPr>
              <w:pStyle w:val="Normal"/>
              <w:rPr/>
            </w:pPr>
            <w:r>
              <w:rPr/>
              <w:t xml:space="preserve">          </w:t>
            </w:r>
            <w:r>
              <w:rPr/>
              <w:t>Cumulative 5-Day Loss</w:t>
            </w:r>
          </w:p>
          <w:p>
            <w:pPr>
              <w:pStyle w:val="Normal"/>
              <w:rPr/>
            </w:pPr>
            <w:r>
              <w:rPr/>
              <w:t xml:space="preserve">          </w:t>
            </w:r>
            <w:r>
              <w:rPr/>
              <w:t>(225% of VaR)</w:t>
            </w:r>
          </w:p>
          <w:p>
            <w:pPr>
              <w:pStyle w:val="Normal"/>
              <w:rPr>
                <w:b/>
              </w:rPr>
            </w:pPr>
            <w:r>
              <w:rPr>
                <w:b/>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pPr>
            <w:r>
              <w:rPr/>
            </w:r>
          </w:p>
          <w:p>
            <w:pPr>
              <w:pStyle w:val="Normal"/>
              <w:jc w:val="center"/>
              <w:rPr>
                <w:i/>
                <w:i/>
              </w:rPr>
            </w:pPr>
            <w:r>
              <w:rPr>
                <w:i/>
              </w:rPr>
              <w:t>$8 or $7.5 million</w:t>
            </w:r>
          </w:p>
          <w:p>
            <w:pPr>
              <w:pStyle w:val="Normal"/>
              <w:jc w:val="center"/>
              <w:rPr>
                <w:i/>
                <w:i/>
              </w:rPr>
            </w:pPr>
            <w:r>
              <w:rPr>
                <w:i/>
              </w:rPr>
            </w:r>
          </w:p>
          <w:p>
            <w:pPr>
              <w:pStyle w:val="Normal"/>
              <w:jc w:val="center"/>
              <w:rPr>
                <w:i/>
                <w:i/>
              </w:rPr>
            </w:pPr>
            <w:r>
              <w:rPr>
                <w:i/>
              </w:rPr>
            </w:r>
          </w:p>
          <w:p>
            <w:pPr>
              <w:pStyle w:val="Normal"/>
              <w:jc w:val="center"/>
              <w:rPr>
                <w:i/>
                <w:i/>
              </w:rPr>
            </w:pPr>
            <w:r>
              <w:rPr>
                <w:i/>
              </w:rPr>
              <w:t>$18 or $16.88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i/>
                <w:i/>
              </w:rPr>
            </w:pPr>
            <w:r>
              <w:rPr>
                <w:i/>
              </w:rPr>
              <w:t>$2 or $2.5 million</w:t>
            </w:r>
          </w:p>
          <w:p>
            <w:pPr>
              <w:pStyle w:val="Normal"/>
              <w:jc w:val="center"/>
              <w:rPr>
                <w:i/>
                <w:i/>
              </w:rPr>
            </w:pPr>
            <w:r>
              <w:rPr>
                <w:i/>
              </w:rPr>
            </w:r>
          </w:p>
          <w:p>
            <w:pPr>
              <w:pStyle w:val="Normal"/>
              <w:jc w:val="center"/>
              <w:rPr>
                <w:i/>
                <w:i/>
              </w:rPr>
            </w:pPr>
            <w:r>
              <w:rPr>
                <w:i/>
              </w:rPr>
            </w:r>
          </w:p>
          <w:p>
            <w:pPr>
              <w:pStyle w:val="Normal"/>
              <w:jc w:val="center"/>
              <w:rPr>
                <w:i/>
                <w:i/>
              </w:rPr>
            </w:pPr>
            <w:r>
              <w:rPr>
                <w:i/>
              </w:rPr>
              <w:t>$4.5 or $5.63 million</w:t>
            </w:r>
          </w:p>
          <w:p>
            <w:pPr>
              <w:pStyle w:val="Normal"/>
              <w:jc w:val="center"/>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rPr>
            </w:pPr>
            <w:r>
              <w:rPr>
                <w:b/>
              </w:rPr>
              <w:t>Maximum Transaction Term</w:t>
            </w:r>
          </w:p>
          <w:p>
            <w:pPr>
              <w:pStyle w:val="Normal"/>
              <w:rPr>
                <w:b/>
              </w:rPr>
            </w:pPr>
            <w:r>
              <w:rPr>
                <w:b/>
              </w:rPr>
            </w:r>
          </w:p>
          <w:p>
            <w:pPr>
              <w:pStyle w:val="Normal"/>
              <w:rPr>
                <w:b/>
              </w:rPr>
            </w:pPr>
            <w:r>
              <w:rPr>
                <w:b/>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BodyText"/>
              <w:rPr/>
            </w:pPr>
            <w:r>
              <w:rPr/>
              <w:t>Rolling 24 months</w:t>
            </w:r>
          </w:p>
          <w:p>
            <w:pPr>
              <w:pStyle w:val="BodyText"/>
              <w:rPr/>
            </w:pPr>
            <w:r>
              <w:rPr/>
              <w:t xml:space="preserve"> </w:t>
            </w:r>
            <w:r>
              <w:rPr/>
              <w:t>(see Notes, below)</w:t>
            </w:r>
          </w:p>
          <w:p>
            <w:pPr>
              <w:pStyle w:val="Normal"/>
              <w:jc w:val="center"/>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Rolling 24 months, plus 6 months to complete a strip</w:t>
            </w:r>
          </w:p>
        </w:tc>
      </w:tr>
    </w:tbl>
    <w:p>
      <w:pPr>
        <w:pStyle w:val="Normal"/>
        <w:rPr/>
      </w:pPr>
      <w:r>
        <w:rPr/>
      </w:r>
    </w:p>
    <w:p>
      <w:pPr>
        <w:pStyle w:val="Heading2"/>
        <w:ind w:hanging="0" w:start="0"/>
        <w:rPr>
          <w:u w:val="single"/>
        </w:rPr>
      </w:pPr>
      <w:r>
        <w:rPr>
          <w:u w:val="single"/>
        </w:rPr>
        <w:t>Speculative Book</w:t>
      </w:r>
    </w:p>
    <w:p>
      <w:pPr>
        <w:pStyle w:val="Normal"/>
        <w:rPr>
          <w:u w:val="single"/>
        </w:rPr>
      </w:pPr>
      <w:r>
        <w:rPr>
          <w:u w:val="single"/>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Power</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Gas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Monthly Position Limit</w:t>
            </w:r>
          </w:p>
          <w:p>
            <w:pPr>
              <w:pStyle w:val="Normal"/>
              <w:rPr>
                <w:b/>
              </w:rPr>
            </w:pPr>
            <w:r>
              <w:rPr>
                <w:b/>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pPr>
            <w:r>
              <w:rPr/>
              <w:t>200 MWa prompt month and next calendar year quarter, not to exceed 300 MW on-peak or 200 MW off-peak in any one month</w:t>
            </w:r>
          </w:p>
          <w:p>
            <w:pPr>
              <w:pStyle w:val="Normal"/>
              <w:jc w:val="center"/>
              <w:rPr/>
            </w:pPr>
            <w:r>
              <w:rPr/>
            </w:r>
          </w:p>
          <w:p>
            <w:pPr>
              <w:pStyle w:val="Normal"/>
              <w:jc w:val="center"/>
              <w:rPr/>
            </w:pPr>
            <w:r>
              <w:rPr/>
              <w:t>100 MWa all other months, not to exceed 200 MW on-peak or 100 MW off-peak in any one month</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25,000 MMbtu/day for all months</w:t>
            </w:r>
          </w:p>
        </w:tc>
      </w:tr>
      <w:tr>
        <w:trPr>
          <w:trHeight w:val="773" w:hRule="atLeast"/>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Total Net Open Position</w:t>
            </w:r>
          </w:p>
          <w:p>
            <w:pPr>
              <w:pStyle w:val="Normal"/>
              <w:rPr>
                <w:b/>
              </w:rPr>
            </w:pPr>
            <w:r>
              <w:rPr>
                <w:b/>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pPr>
            <w:r>
              <w:rPr/>
              <w:t>1,500,000 MWh</w:t>
            </w:r>
          </w:p>
          <w:p>
            <w:pPr>
              <w:pStyle w:val="Normal"/>
              <w:jc w:val="center"/>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5 Bcf</w:t>
            </w:r>
          </w:p>
          <w:p>
            <w:pPr>
              <w:pStyle w:val="Normal"/>
              <w:jc w:val="center"/>
              <w:rPr/>
            </w:pPr>
            <w:r>
              <w:rPr/>
            </w:r>
          </w:p>
        </w:tc>
      </w:tr>
      <w:tr>
        <w:trPr>
          <w:trHeight w:val="782" w:hRule="atLeast"/>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Maturity/Gap Position Risk</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pPr>
            <w:r>
              <w:rPr/>
              <w:t>1,500,000 MWh</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5 Bcf</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Potential Exposure (Value-at-Risk)</w:t>
            </w:r>
          </w:p>
          <w:p>
            <w:pPr>
              <w:pStyle w:val="Normal"/>
              <w:rPr>
                <w:b/>
              </w:rPr>
            </w:pPr>
            <w:r>
              <w:rPr>
                <w:b/>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pPr>
            <w:r>
              <w:rPr/>
              <w:t>$3.0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$1.0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Loss Notifications</w:t>
            </w:r>
          </w:p>
          <w:p>
            <w:pPr>
              <w:pStyle w:val="Normal"/>
              <w:rPr/>
            </w:pPr>
            <w:r>
              <w:rPr/>
              <w:t xml:space="preserve">          </w:t>
            </w:r>
            <w:r>
              <w:rPr/>
              <w:t>Daily Loss (100% of VaR)</w:t>
            </w:r>
          </w:p>
          <w:p>
            <w:pPr>
              <w:pStyle w:val="Normal"/>
              <w:rPr/>
            </w:pPr>
            <w:r>
              <w:rPr/>
            </w:r>
          </w:p>
          <w:p>
            <w:pPr>
              <w:pStyle w:val="Normal"/>
              <w:rPr/>
            </w:pPr>
            <w:r>
              <w:rPr/>
              <w:t xml:space="preserve">          </w:t>
            </w:r>
            <w:r>
              <w:rPr/>
              <w:t>Cumulative 5-Day Loss</w:t>
            </w:r>
          </w:p>
          <w:p>
            <w:pPr>
              <w:pStyle w:val="Normal"/>
              <w:rPr/>
            </w:pPr>
            <w:r>
              <w:rPr/>
              <w:t xml:space="preserve">          </w:t>
            </w:r>
            <w:r>
              <w:rPr/>
              <w:t>(225% of VaR)</w:t>
            </w:r>
          </w:p>
          <w:p>
            <w:pPr>
              <w:pStyle w:val="Normal"/>
              <w:rPr>
                <w:b/>
              </w:rPr>
            </w:pPr>
            <w:r>
              <w:rPr>
                <w:b/>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pPr>
            <w:r>
              <w:rPr/>
            </w:r>
          </w:p>
          <w:p>
            <w:pPr>
              <w:pStyle w:val="Normal"/>
              <w:jc w:val="center"/>
              <w:rPr/>
            </w:pPr>
            <w:r>
              <w:rPr/>
              <w:t>$3.0 million</w:t>
            </w:r>
          </w:p>
          <w:p>
            <w:pPr>
              <w:pStyle w:val="Normal"/>
              <w:jc w:val="center"/>
              <w:rPr/>
            </w:pPr>
            <w:r>
              <w:rPr/>
            </w:r>
          </w:p>
          <w:p>
            <w:pPr>
              <w:pStyle w:val="Normal"/>
              <w:jc w:val="center"/>
              <w:rPr/>
            </w:pPr>
            <w:r>
              <w:rPr/>
              <w:t>$6.75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t>$1.0 million</w:t>
            </w:r>
          </w:p>
          <w:p>
            <w:pPr>
              <w:pStyle w:val="Normal"/>
              <w:jc w:val="center"/>
              <w:rPr/>
            </w:pPr>
            <w:r>
              <w:rPr/>
            </w:r>
          </w:p>
          <w:p>
            <w:pPr>
              <w:pStyle w:val="Normal"/>
              <w:jc w:val="center"/>
              <w:rPr/>
            </w:pPr>
            <w:r>
              <w:rPr/>
              <w:t>$2.25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Maximum Transaction Term</w:t>
            </w:r>
          </w:p>
          <w:p>
            <w:pPr>
              <w:pStyle w:val="Normal"/>
              <w:rPr>
                <w:b/>
              </w:rPr>
            </w:pPr>
            <w:r>
              <w:rPr>
                <w:b/>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pPr>
            <w:r>
              <w:rPr/>
              <w:t>Rolling 24 Months</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Rolling 24 Months</w:t>
            </w:r>
          </w:p>
        </w:tc>
      </w:tr>
    </w:tbl>
    <w:p>
      <w:pPr>
        <w:pStyle w:val="Normal"/>
        <w:rPr/>
      </w:pPr>
      <w:r>
        <w:rPr/>
      </w:r>
    </w:p>
    <w:p>
      <w:pPr>
        <w:pStyle w:val="Heading3"/>
        <w:ind w:hanging="0" w:start="0"/>
        <w:rPr/>
      </w:pPr>
      <w:r>
        <w:rPr/>
        <w:t>Notes and Definitions</w:t>
      </w:r>
    </w:p>
    <w:p>
      <w:pPr>
        <w:pStyle w:val="Normal"/>
        <w:rPr/>
      </w:pPr>
      <w:r>
        <w:rPr/>
      </w:r>
    </w:p>
    <w:p>
      <w:pPr>
        <w:pStyle w:val="Normal"/>
        <w:rPr/>
      </w:pPr>
      <w:r>
        <w:rPr>
          <w:b/>
        </w:rPr>
        <w:t>Total Net Open Position:</w:t>
      </w:r>
      <w:r>
        <w:rPr/>
        <w:t xml:space="preserve">  Total NOP is calculated based on aggregate open positions during a rolling 24 month timeframe.</w:t>
      </w:r>
    </w:p>
    <w:p>
      <w:pPr>
        <w:pStyle w:val="Normal"/>
        <w:rPr/>
      </w:pPr>
      <w:r>
        <w:rPr/>
      </w:r>
    </w:p>
    <w:p>
      <w:pPr>
        <w:pStyle w:val="Normal"/>
        <w:rPr/>
      </w:pPr>
      <w:r>
        <w:rPr>
          <w:b/>
        </w:rPr>
        <w:t xml:space="preserve">Maturity/Gap Position Risk: </w:t>
      </w:r>
      <w:r>
        <w:rPr/>
        <w:t xml:space="preserve"> Maturity/Gap Position Risk represents the 12-month strip with the largest aggregate net open position during the rolling 24 month timeframe.</w:t>
      </w:r>
    </w:p>
    <w:p>
      <w:pPr>
        <w:pStyle w:val="Normal"/>
        <w:rPr/>
      </w:pPr>
      <w:r>
        <w:rPr/>
      </w:r>
    </w:p>
    <w:p>
      <w:pPr>
        <w:pStyle w:val="Normal"/>
        <w:rPr/>
      </w:pPr>
      <w:r>
        <w:rPr>
          <w:b/>
        </w:rPr>
        <w:t xml:space="preserve">Loss Notifications:  </w:t>
      </w:r>
      <w:r>
        <w:rPr/>
        <w:t>Daily Loss represents the loss in value of the portfolio on a daily basis.  The Daily Loss will be calculated using the mark-to-market method on a net present value basis.  Cumulative 5-Day Loss is the sum of daily profit and loss for the last consecutive five business days.  Upon occurrence of a Daily Loss or Cumulative 5-Day Loss that exceeds limits, the Cumulative 5-Day Loss calculation is reset for notification purposes.</w:t>
      </w:r>
    </w:p>
    <w:p>
      <w:pPr>
        <w:pStyle w:val="Normal"/>
        <w:rPr/>
      </w:pPr>
      <w:r>
        <w:rPr/>
      </w:r>
    </w:p>
    <w:p>
      <w:pPr>
        <w:pStyle w:val="Normal"/>
        <w:rPr>
          <w:b/>
        </w:rPr>
      </w:pPr>
      <w:r>
        <w:rPr>
          <w:b/>
        </w:rPr>
        <w:t>Value-at-Risk (VaR):</w:t>
      </w:r>
      <w:r>
        <w:rPr/>
        <w:t xml:space="preserve">  VaR represents the maximum potential change in the value of the portfolio over a 1-day time horizon and using a 95% confidence level.  This is consistent with Enron Corp. adopted VaR methodology.</w:t>
      </w:r>
    </w:p>
    <w:p>
      <w:pPr>
        <w:pStyle w:val="Normal"/>
        <w:rPr/>
      </w:pPr>
      <w:r>
        <w:rPr>
          <w:b/>
        </w:rPr>
        <w:t xml:space="preserve">Value-at-Risk Allocation:  </w:t>
      </w:r>
      <w:r>
        <w:rPr/>
        <w:t>The allocation of VaR among power and gas is at the discretion of the V.P. Power Supply/Power Operations, and V.P. Risk Management Reporting, Controls, and Credit, which requires notification to the Risk Management Committee and formal approval from Enron Corp.</w:t>
      </w:r>
    </w:p>
    <w:p>
      <w:pPr>
        <w:pStyle w:val="Normal"/>
        <w:rPr>
          <w:b/>
        </w:rPr>
      </w:pPr>
      <w:r>
        <w:rPr>
          <w:b/>
        </w:rPr>
      </w:r>
    </w:p>
    <w:p>
      <w:pPr>
        <w:pStyle w:val="Normal"/>
        <w:rPr/>
      </w:pPr>
      <w:r>
        <w:rPr>
          <w:b/>
        </w:rPr>
        <w:t>Maximum Transaction Term:</w:t>
      </w:r>
      <w:r>
        <w:rPr/>
        <w:t xml:space="preserve">  Generally, transactions entered into must deliver in full within 24 months of the transaction date, except as noted.  In the Regulated Power book, forward purchase transactions through 2006 may be entered into for load requirement purposes upon receiving prior approval from the V.P Power Supply/Power Operations and the V.P. Risk Management Reporting, Controls &amp; Credit. </w:t>
      </w:r>
    </w:p>
    <w:p>
      <w:pPr>
        <w:pStyle w:val="Normal"/>
        <w:rPr>
          <w:b/>
        </w:rPr>
      </w:pPr>
      <w:r>
        <w:rPr>
          <w:b/>
        </w:rPr>
      </w:r>
    </w:p>
    <w:p>
      <w:pPr>
        <w:pStyle w:val="Normal"/>
        <w:rPr/>
      </w:pPr>
      <w:r>
        <w:rPr>
          <w:b/>
        </w:rPr>
        <w:t>Limit Violation Notification Requirements:</w:t>
      </w:r>
      <w:r>
        <w:rPr/>
        <w:t xml:space="preserve">  The limits in the table above should be considered reportable occurrences and therefore do not cause or result in mandatory book liquidation.  If there is sufficient reason to believe that a transaction will result in a limit violation, the General Manager of Power Operations will ensure that a report is made to the Manager of Risk Management Reporting and Controls (RMRC) prior to entering into the transaction.  All out-of-limit occurrences shall be communicated by the Manager of RMRC to the V.P., Power Supply/Power Operations, and V.P., Risk Management Reporting, Controls and Credit.  If the limit violation exceeds the applicable limit by greater than or equal to five percent, the V.P. Risk Management Reporting, Controls and Credit shall ensure the prompt communication of the occurrence to the PGE President &amp; CEO and Senior V.P. Finance, Chief Financial Officer and Treasurer. </w:t>
      </w:r>
    </w:p>
    <w:p>
      <w:pPr>
        <w:pStyle w:val="Normal"/>
        <w:rPr/>
      </w:pPr>
      <w:r>
        <w:rPr/>
      </w:r>
    </w:p>
    <w:p>
      <w:pPr>
        <w:pStyle w:val="Normal"/>
        <w:rPr/>
      </w:pPr>
      <w:r>
        <w:rPr>
          <w:b/>
        </w:rPr>
        <w:t xml:space="preserve">Effective Date: </w:t>
      </w:r>
      <w:r>
        <w:rPr/>
        <w:t xml:space="preserve"> Effective immediately upon approval by the PGE Risk Management Committee (RMC).  These limits will remain in place until superceded by the RMC.</w:t>
      </w:r>
    </w:p>
    <w:p>
      <w:pPr>
        <w:pStyle w:val="Normal"/>
        <w:rPr/>
      </w:pPr>
      <w:r>
        <w:rPr/>
      </w:r>
    </w:p>
    <w:p>
      <w:pPr>
        <w:pStyle w:val="Normal"/>
        <w:rPr/>
      </w:pPr>
      <w:r>
        <w:rPr/>
      </w:r>
    </w:p>
    <w:p>
      <w:pPr>
        <w:pStyle w:val="Normal"/>
        <w:rPr/>
      </w:pPr>
      <w:r>
        <w:rPr/>
        <w:t>______________________________</w:t>
      </w:r>
    </w:p>
    <w:p>
      <w:pPr>
        <w:pStyle w:val="Normal"/>
        <w:rPr/>
      </w:pPr>
      <w:r>
        <w:rPr/>
        <w:t>Peggy Fowler</w:t>
      </w:r>
    </w:p>
    <w:p>
      <w:pPr>
        <w:pStyle w:val="Normal"/>
        <w:rPr/>
      </w:pPr>
      <w:r>
        <w:rPr/>
        <w:t>President &amp; CEO</w:t>
      </w:r>
    </w:p>
    <w:p>
      <w:pPr>
        <w:pStyle w:val="Normal"/>
        <w:rPr/>
      </w:pPr>
      <w:r>
        <w:rPr/>
      </w:r>
    </w:p>
    <w:p>
      <w:pPr>
        <w:pStyle w:val="Normal"/>
        <w:rPr/>
      </w:pPr>
      <w:r>
        <w:rPr/>
        <w:t>______________________________</w:t>
      </w:r>
    </w:p>
    <w:p>
      <w:pPr>
        <w:pStyle w:val="Normal"/>
        <w:rPr/>
      </w:pPr>
      <w:r>
        <w:rPr/>
        <w:t>Jim Piro</w:t>
      </w:r>
    </w:p>
    <w:p>
      <w:pPr>
        <w:pStyle w:val="Normal"/>
        <w:rPr/>
      </w:pPr>
      <w:r>
        <w:rPr/>
        <w:t>SVP of Finance/CFO/Treasurer</w:t>
      </w:r>
    </w:p>
    <w:p>
      <w:pPr>
        <w:pStyle w:val="Normal"/>
        <w:rPr/>
      </w:pPr>
      <w:r>
        <w:rPr/>
      </w:r>
    </w:p>
    <w:p>
      <w:pPr>
        <w:pStyle w:val="Normal"/>
        <w:rPr/>
      </w:pPr>
      <w:r>
        <w:rPr/>
        <w:t>______________________________</w:t>
      </w:r>
    </w:p>
    <w:p>
      <w:pPr>
        <w:pStyle w:val="Normal"/>
        <w:rPr/>
      </w:pPr>
      <w:r>
        <w:rPr/>
        <w:t>Mary Turina</w:t>
      </w:r>
    </w:p>
    <w:p>
      <w:pPr>
        <w:pStyle w:val="Normal"/>
        <w:rPr/>
      </w:pPr>
      <w:r>
        <w:rPr/>
        <w:t>VP, Power Supply/Power Operations</w:t>
      </w:r>
    </w:p>
    <w:p>
      <w:pPr>
        <w:pStyle w:val="Normal"/>
        <w:rPr/>
      </w:pPr>
      <w:r>
        <w:rPr/>
      </w:r>
    </w:p>
    <w:p>
      <w:pPr>
        <w:pStyle w:val="Normal"/>
        <w:rPr/>
      </w:pPr>
      <w:r>
        <w:rPr/>
        <w:t>______________________________</w:t>
      </w:r>
    </w:p>
    <w:p>
      <w:pPr>
        <w:pStyle w:val="Normal"/>
        <w:rPr/>
      </w:pPr>
      <w:r>
        <w:rPr/>
        <w:t>Jim Lobdell</w:t>
      </w:r>
    </w:p>
    <w:p>
      <w:pPr>
        <w:pStyle w:val="Normal"/>
        <w:rPr/>
      </w:pPr>
      <w:r>
        <w:rPr/>
        <w:t>VP, Risk Management Reporting, Controls and Credit</w:t>
      </w:r>
    </w:p>
    <w:p>
      <w:pPr>
        <w:pStyle w:val="Normal"/>
        <w:rPr/>
      </w:pPr>
      <w:r>
        <w:rPr/>
      </w:r>
    </w:p>
    <w:p>
      <w:pPr>
        <w:pStyle w:val="Normal"/>
        <w:rPr/>
      </w:pPr>
      <w:r>
        <w:rPr/>
        <w:t>______________________________</w:t>
      </w:r>
    </w:p>
    <w:p>
      <w:pPr>
        <w:pStyle w:val="Normal"/>
        <w:rPr/>
      </w:pPr>
      <w:r>
        <w:rPr/>
        <w:t>Doug Nichols</w:t>
      </w:r>
    </w:p>
    <w:p>
      <w:pPr>
        <w:pStyle w:val="Normal"/>
        <w:rPr/>
      </w:pPr>
      <w:r>
        <w:rPr/>
        <w:t>VP, General Counsel &amp; Secretary</w:t>
      </w:r>
    </w:p>
    <w:p>
      <w:pPr>
        <w:pStyle w:val="Normal"/>
        <w:rPr/>
      </w:pPr>
      <w:r>
        <w:rPr/>
      </w:r>
    </w:p>
    <w:p>
      <w:pPr>
        <w:pStyle w:val="Normal"/>
        <w:rPr/>
      </w:pPr>
      <w:r>
        <w:rPr/>
        <w:t>______________________________</w:t>
      </w:r>
    </w:p>
    <w:p>
      <w:pPr>
        <w:pStyle w:val="Normal"/>
        <w:rPr/>
      </w:pPr>
      <w:r>
        <w:rPr/>
        <w:t>Dave Carboneau</w:t>
      </w:r>
    </w:p>
    <w:p>
      <w:pPr>
        <w:pStyle w:val="Normal"/>
        <w:rPr/>
      </w:pPr>
      <w:r>
        <w:rPr/>
        <w:t>VP, Retail Services</w:t>
      </w:r>
    </w:p>
    <w:p>
      <w:pPr>
        <w:pStyle w:val="Normal"/>
        <w:rPr/>
      </w:pPr>
      <w:r>
        <w:rPr/>
      </w:r>
    </w:p>
    <w:p>
      <w:pPr>
        <w:pStyle w:val="Normal"/>
        <w:rPr/>
      </w:pPr>
      <w:r>
        <w:rPr/>
        <w:t>______________________________</w:t>
      </w:r>
    </w:p>
    <w:p>
      <w:pPr>
        <w:pStyle w:val="Normal"/>
        <w:rPr/>
      </w:pPr>
      <w:r>
        <w:rPr/>
        <w:t>Pamela Lesh</w:t>
      </w:r>
    </w:p>
    <w:p>
      <w:pPr>
        <w:pStyle w:val="Normal"/>
        <w:rPr/>
      </w:pPr>
      <w:r>
        <w:rPr/>
        <w:t>VP, Public Policy &amp; Regulatory Affairs</w:t>
      </w:r>
    </w:p>
    <w:p>
      <w:pPr>
        <w:pStyle w:val="Normal"/>
        <w:rPr/>
      </w:pPr>
      <w:r>
        <w:rPr/>
      </w:r>
    </w:p>
    <w:p>
      <w:pPr>
        <w:pStyle w:val="Normal"/>
        <w:rPr/>
      </w:pPr>
      <w:r>
        <w:rPr/>
        <w:t>______________________________</w:t>
      </w:r>
    </w:p>
    <w:p>
      <w:pPr>
        <w:pStyle w:val="Normal"/>
        <w:rPr/>
      </w:pPr>
      <w:r>
        <w:rPr/>
        <w:t>Rod Hayslett</w:t>
      </w:r>
    </w:p>
    <w:p>
      <w:pPr>
        <w:pStyle w:val="Normal"/>
        <w:rPr/>
      </w:pPr>
      <w:r>
        <w:rPr/>
        <w:t>Enron Transportation Services – Managing Director &amp; CFO</w:t>
      </w:r>
    </w:p>
    <w:p>
      <w:pPr>
        <w:pStyle w:val="Normal"/>
        <w:rPr/>
      </w:pPr>
      <w:r>
        <w:rPr/>
      </w:r>
    </w:p>
    <w:p>
      <w:pPr>
        <w:pStyle w:val="Normal"/>
        <w:rPr/>
      </w:pPr>
      <w:r>
        <w:rPr/>
      </w:r>
    </w:p>
    <w:p>
      <w:pPr>
        <w:pStyle w:val="Normal"/>
        <w:rPr/>
      </w:pPr>
      <w:r>
        <w:rPr/>
        <w:t>C:  Stan Horton</w:t>
      </w:r>
    </w:p>
    <w:p>
      <w:pPr>
        <w:pStyle w:val="Normal"/>
        <w:rPr/>
      </w:pPr>
      <w:r>
        <w:rPr/>
        <w:t xml:space="preserve">      </w:t>
      </w:r>
      <w:r>
        <w:rPr/>
        <w:t>Vladimir Gorny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jc w:val="center"/>
      <w:outlineLvl w:val="3"/>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2001-08-17T19:33:00Z</dcterms:created>
  <dc:creator>E62960</dc:creator>
  <dc:description/>
  <dc:language>en-CA</dc:language>
  <cp:lastModifiedBy>E62960</cp:lastModifiedBy>
  <cp:lastPrinted>2001-09-05T13:52:00Z</cp:lastPrinted>
  <dcterms:modified xsi:type="dcterms:W3CDTF">2001-09-07T19:30:00Z</dcterms:modified>
  <cp:revision>28</cp:revision>
  <dc:subject/>
  <dc:title>Power</dc:title>
</cp:coreProperties>
</file>