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Heading"/>
        <w:rPr>
          <w:sz w:val="20"/>
        </w:rPr>
      </w:pPr>
      <w:r>
        <w:rPr>
          <w:sz w:val="20"/>
        </w:rPr>
      </w:r>
    </w:p>
    <w:p>
      <w:pPr>
        <w:pStyle w:val="Heading"/>
        <w:rPr>
          <w:sz w:val="20"/>
        </w:rPr>
      </w:pPr>
      <w:r>
        <w:rPr>
          <w:sz w:val="20"/>
        </w:rPr>
      </w:r>
    </w:p>
    <w:p>
      <w:pPr>
        <w:pStyle w:val="Heading4"/>
        <w:ind w:hanging="0" w:start="0"/>
        <w:jc w:val="both"/>
        <w:rPr>
          <w:rFonts w:ascii="Arial" w:hAnsi="Arial" w:cs="Arial"/>
          <w:sz w:val="20"/>
        </w:rPr>
      </w:pPr>
      <w:r>
        <w:rPr>
          <w:rFonts w:cs="Arial" w:ascii="Arial" w:hAnsi="Arial"/>
          <w:sz w:val="20"/>
        </w:rPr>
      </w:r>
    </w:p>
    <w:p>
      <w:pPr>
        <w:pStyle w:val="Header"/>
        <w:tabs>
          <w:tab w:val="clear" w:pos="4320"/>
          <w:tab w:val="clear" w:pos="8640"/>
          <w:tab w:val="left" w:pos="142" w:leader="none"/>
          <w:tab w:val="left" w:pos="993" w:leader="none"/>
        </w:tabs>
        <w:jc w:val="both"/>
        <w:rPr>
          <w:rFonts w:ascii="Arial" w:hAnsi="Arial" w:cs="Arial"/>
          <w:sz w:val="20"/>
        </w:rPr>
      </w:pPr>
      <w:r>
        <w:rPr>
          <w:rFonts w:cs="Arial"/>
          <w:sz w:val="20"/>
        </w:rPr>
      </w:r>
    </w:p>
    <w:p>
      <w:pPr>
        <w:pStyle w:val="Header"/>
        <w:tabs>
          <w:tab w:val="clear" w:pos="4320"/>
          <w:tab w:val="clear" w:pos="8640"/>
          <w:tab w:val="left" w:pos="142" w:leader="none"/>
          <w:tab w:val="left" w:pos="993" w:leader="none"/>
        </w:tabs>
        <w:spacing w:before="60" w:after="60"/>
        <w:jc w:val="both"/>
        <w:rPr/>
      </w:pPr>
      <w:r>
        <w:rPr>
          <w:b/>
          <w:sz w:val="20"/>
        </w:rPr>
        <w:t>To:</w:t>
      </w:r>
      <w:r>
        <w:rPr>
          <w:sz w:val="20"/>
        </w:rPr>
        <w:tab/>
        <w:t>Jeff Skilling</w:t>
        <w:tab/>
        <w:t xml:space="preserve"> </w:t>
        <w:tab/>
      </w:r>
    </w:p>
    <w:p>
      <w:pPr>
        <w:pStyle w:val="Header"/>
        <w:tabs>
          <w:tab w:val="clear" w:pos="4320"/>
          <w:tab w:val="clear" w:pos="8640"/>
          <w:tab w:val="left" w:pos="142" w:leader="none"/>
          <w:tab w:val="left" w:pos="993" w:leader="none"/>
        </w:tabs>
        <w:spacing w:before="60" w:after="60"/>
        <w:jc w:val="both"/>
        <w:rPr>
          <w:sz w:val="20"/>
        </w:rPr>
      </w:pPr>
      <w:r>
        <w:rPr>
          <w:sz w:val="20"/>
        </w:rPr>
        <w:tab/>
        <w:tab/>
        <w:t>Rick Buy</w:t>
        <w:tab/>
        <w:tab/>
      </w:r>
    </w:p>
    <w:p>
      <w:pPr>
        <w:pStyle w:val="Normal"/>
        <w:tabs>
          <w:tab w:val="left" w:pos="142" w:leader="none"/>
          <w:tab w:val="left" w:pos="540" w:leader="none"/>
          <w:tab w:val="left" w:pos="993" w:leader="none"/>
        </w:tabs>
        <w:spacing w:before="60" w:after="60"/>
        <w:jc w:val="both"/>
        <w:rPr/>
      </w:pPr>
      <w:r>
        <w:rPr>
          <w:b/>
          <w:sz w:val="20"/>
        </w:rPr>
        <w:t>From:</w:t>
      </w:r>
      <w:r>
        <w:rPr>
          <w:sz w:val="20"/>
        </w:rPr>
        <w:tab/>
        <w:t>George McClellan</w:t>
        <w:tab/>
        <w:tab/>
        <w:t>___________________</w:t>
      </w:r>
    </w:p>
    <w:p>
      <w:pPr>
        <w:pStyle w:val="Normal"/>
        <w:tabs>
          <w:tab w:val="left" w:pos="142" w:leader="none"/>
          <w:tab w:val="left" w:pos="540" w:leader="none"/>
          <w:tab w:val="left" w:pos="993" w:leader="none"/>
        </w:tabs>
        <w:spacing w:before="60" w:after="60"/>
        <w:jc w:val="both"/>
        <w:rPr>
          <w:sz w:val="20"/>
        </w:rPr>
      </w:pPr>
      <w:r>
        <w:rPr>
          <w:sz w:val="20"/>
        </w:rPr>
        <w:tab/>
        <w:tab/>
        <w:tab/>
        <w:tab/>
        <w:tab/>
        <w:tab/>
        <w:tab/>
        <w:t xml:space="preserve">        (Signature)</w:t>
      </w:r>
    </w:p>
    <w:p>
      <w:pPr>
        <w:pStyle w:val="Normal"/>
        <w:tabs>
          <w:tab w:val="left" w:pos="142" w:leader="none"/>
          <w:tab w:val="left" w:pos="540" w:leader="none"/>
          <w:tab w:val="left" w:pos="993" w:leader="none"/>
        </w:tabs>
        <w:spacing w:before="60" w:after="60"/>
        <w:jc w:val="both"/>
        <w:rPr>
          <w:b/>
          <w:sz w:val="20"/>
        </w:rPr>
      </w:pPr>
      <w:r>
        <w:rPr>
          <w:b/>
          <w:sz w:val="20"/>
        </w:rPr>
        <w:t>Date:</w:t>
      </w:r>
      <w:r>
        <w:rPr>
          <w:sz w:val="20"/>
        </w:rPr>
        <w:tab/>
        <w:tab/>
        <w:t>January 12, 2001</w:t>
        <w:tab/>
      </w:r>
    </w:p>
    <w:p>
      <w:pPr>
        <w:pStyle w:val="Normal"/>
        <w:tabs>
          <w:tab w:val="left" w:pos="142" w:leader="none"/>
          <w:tab w:val="left" w:pos="540" w:leader="none"/>
          <w:tab w:val="left" w:pos="993" w:leader="none"/>
        </w:tabs>
        <w:spacing w:before="60" w:after="60"/>
        <w:jc w:val="both"/>
        <w:rPr/>
      </w:pPr>
      <w:r>
        <w:rPr>
          <w:b/>
          <w:sz w:val="20"/>
        </w:rPr>
        <w:t>Subject:</w:t>
      </w:r>
      <w:r>
        <w:rPr>
          <w:sz w:val="20"/>
        </w:rPr>
        <w:tab/>
        <w:t xml:space="preserve">Request for Modification of EGM’s Coal Trading Policy Limits </w:t>
      </w:r>
    </w:p>
    <w:p>
      <w:pPr>
        <w:pStyle w:val="Normal"/>
        <w:tabs>
          <w:tab w:val="left" w:pos="142" w:leader="none"/>
          <w:tab w:val="left" w:pos="540" w:leader="none"/>
          <w:tab w:val="left" w:pos="993" w:leader="none"/>
        </w:tabs>
        <w:spacing w:before="60" w:after="60"/>
        <w:jc w:val="both"/>
        <w:rPr>
          <w:rFonts w:ascii="Times New Roman" w:hAnsi="Times New Roman" w:cs="Times New Roman"/>
          <w:sz w:val="22"/>
        </w:rPr>
      </w:pPr>
      <w:r>
        <w:rPr>
          <w:sz w:val="20"/>
        </w:rPr>
        <w:tab/>
        <w:tab/>
        <w:tab/>
      </w:r>
    </w:p>
    <w:p>
      <w:pPr>
        <w:pStyle w:val="Heading1"/>
        <w:pBdr>
          <w:top w:val="single" w:sz="18" w:space="1" w:color="000000"/>
        </w:pBdr>
        <w:ind w:hanging="0" w:start="0"/>
        <w:jc w:val="both"/>
        <w:rPr>
          <w:rFonts w:ascii="Times New Roman" w:hAnsi="Times New Roman" w:cs="Times New Roman"/>
          <w:b w:val="false"/>
          <w:sz w:val="22"/>
        </w:rPr>
      </w:pPr>
      <w:r>
        <w:rPr>
          <w:rFonts w:cs="Times New Roman"/>
          <w:b w:val="false"/>
          <w:sz w:val="22"/>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Type of Trading Limit Request</w:t>
      </w:r>
    </w:p>
    <w:p>
      <w:pPr>
        <w:pStyle w:val="Normal"/>
        <w:jc w:val="both"/>
        <w:rPr>
          <w:sz w:val="20"/>
        </w:rPr>
      </w:pPr>
      <w:r>
        <w:rPr>
          <w:sz w:val="20"/>
        </w:rPr>
        <w:t>(tailor the form to individual transaction)</w:t>
      </w:r>
    </w:p>
    <w:p>
      <w:pPr>
        <w:pStyle w:val="Normal"/>
        <w:numPr>
          <w:ilvl w:val="0"/>
          <w:numId w:val="2"/>
        </w:numPr>
        <w:jc w:val="both"/>
        <w:rPr>
          <w:sz w:val="20"/>
          <w:u w:val="single"/>
        </w:rPr>
      </w:pPr>
      <w:r>
        <w:rPr>
          <w:sz w:val="20"/>
        </w:rPr>
        <w:t>Interim Policy Limits for New Commodity</w:t>
        <w:tab/>
        <w:tab/>
      </w:r>
      <w:r>
        <w:rPr>
          <w:sz w:val="20"/>
          <w:u w:val="single"/>
        </w:rPr>
        <w:tab/>
      </w:r>
    </w:p>
    <w:p>
      <w:pPr>
        <w:pStyle w:val="Normal"/>
        <w:numPr>
          <w:ilvl w:val="0"/>
          <w:numId w:val="2"/>
        </w:numPr>
        <w:jc w:val="both"/>
        <w:rPr>
          <w:sz w:val="20"/>
        </w:rPr>
      </w:pPr>
      <w:r>
        <w:rPr>
          <w:sz w:val="20"/>
        </w:rPr>
        <w:t xml:space="preserve">Interim Policy Limit Extension </w:t>
        <w:tab/>
        <w:tab/>
        <w:tab/>
      </w:r>
      <w:r>
        <w:rPr>
          <w:sz w:val="20"/>
          <w:u w:val="single"/>
        </w:rPr>
        <w:tab/>
      </w:r>
    </w:p>
    <w:p>
      <w:pPr>
        <w:pStyle w:val="Normal"/>
        <w:numPr>
          <w:ilvl w:val="0"/>
          <w:numId w:val="2"/>
        </w:numPr>
        <w:jc w:val="both"/>
        <w:rPr>
          <w:sz w:val="20"/>
          <w:u w:val="single"/>
        </w:rPr>
      </w:pPr>
      <w:r>
        <w:rPr>
          <w:sz w:val="20"/>
        </w:rPr>
        <w:t>Permanent Policy Limits</w:t>
        <w:tab/>
        <w:tab/>
        <w:tab/>
        <w:tab/>
      </w:r>
      <w:r>
        <w:rPr>
          <w:sz w:val="20"/>
          <w:u w:val="single"/>
        </w:rPr>
        <w:tab/>
      </w:r>
    </w:p>
    <w:p>
      <w:pPr>
        <w:pStyle w:val="Normal"/>
        <w:numPr>
          <w:ilvl w:val="0"/>
          <w:numId w:val="2"/>
        </w:numPr>
        <w:jc w:val="both"/>
        <w:rPr>
          <w:sz w:val="20"/>
          <w:u w:val="single"/>
        </w:rPr>
      </w:pPr>
      <w:r>
        <w:rPr>
          <w:sz w:val="20"/>
        </w:rPr>
        <w:t>Change in Permanent Policy Limits</w:t>
        <w:tab/>
        <w:tab/>
        <w:tab/>
        <w:t>___X___</w:t>
      </w:r>
    </w:p>
    <w:p>
      <w:pPr>
        <w:pStyle w:val="Normal"/>
        <w:numPr>
          <w:ilvl w:val="0"/>
          <w:numId w:val="2"/>
        </w:numPr>
        <w:jc w:val="both"/>
        <w:rPr>
          <w:sz w:val="20"/>
        </w:rPr>
      </w:pPr>
      <w:r>
        <w:rPr>
          <w:sz w:val="20"/>
        </w:rPr>
        <w:t>Discretionary VaR Allocation</w:t>
        <w:tab/>
        <w:tab/>
        <w:tab/>
      </w:r>
      <w:r>
        <w:rPr>
          <w:sz w:val="20"/>
          <w:u w:val="single"/>
        </w:rPr>
        <w:tab/>
      </w:r>
    </w:p>
    <w:p>
      <w:pPr>
        <w:pStyle w:val="Normal"/>
        <w:numPr>
          <w:ilvl w:val="0"/>
          <w:numId w:val="2"/>
        </w:numPr>
        <w:jc w:val="both"/>
        <w:rPr>
          <w:sz w:val="20"/>
        </w:rPr>
      </w:pPr>
      <w:r>
        <w:rPr>
          <w:sz w:val="20"/>
        </w:rPr>
        <w:t>Temporary Policy Limits</w:t>
        <w:tab/>
        <w:tab/>
        <w:tab/>
        <w:tab/>
        <w:t>_______</w:t>
      </w:r>
    </w:p>
    <w:p>
      <w:pPr>
        <w:pStyle w:val="Normal"/>
        <w:ind w:hanging="2160" w:start="2160" w:end="0"/>
        <w:jc w:val="both"/>
        <w:rPr>
          <w:b/>
          <w:sz w:val="20"/>
          <w:u w:val="single"/>
        </w:rPr>
      </w:pPr>
      <w:r>
        <w:rPr>
          <w:b/>
          <w:sz w:val="20"/>
          <w:u w:val="single"/>
        </w:rPr>
      </w:r>
    </w:p>
    <w:p>
      <w:pPr>
        <w:pStyle w:val="Normal"/>
        <w:ind w:hanging="2160" w:start="2160" w:end="0"/>
        <w:jc w:val="both"/>
        <w:rPr>
          <w:b/>
          <w:sz w:val="20"/>
          <w:u w:val="single"/>
        </w:rPr>
      </w:pPr>
      <w:r>
        <w:rPr>
          <w:b/>
          <w:sz w:val="20"/>
          <w:u w:val="single"/>
        </w:rPr>
        <w:t>Authorized Products:</w:t>
      </w:r>
    </w:p>
    <w:p>
      <w:pPr>
        <w:pStyle w:val="Normal"/>
        <w:ind w:hanging="2160" w:start="2160" w:end="0"/>
        <w:jc w:val="both"/>
        <w:rPr>
          <w:b/>
          <w:sz w:val="20"/>
          <w:u w:val="single"/>
        </w:rPr>
      </w:pPr>
      <w:r>
        <w:rPr>
          <w:b/>
          <w:sz w:val="20"/>
          <w:u w:val="single"/>
        </w:rPr>
      </w:r>
    </w:p>
    <w:p>
      <w:pPr>
        <w:pStyle w:val="Normal"/>
        <w:numPr>
          <w:ilvl w:val="0"/>
          <w:numId w:val="2"/>
        </w:numPr>
        <w:jc w:val="both"/>
        <w:rPr>
          <w:sz w:val="20"/>
        </w:rPr>
      </w:pPr>
      <w:r>
        <w:rPr>
          <w:sz w:val="20"/>
        </w:rPr>
        <w:t>Steam Coal</w:t>
      </w:r>
    </w:p>
    <w:p>
      <w:pPr>
        <w:pStyle w:val="Normal"/>
        <w:numPr>
          <w:ilvl w:val="0"/>
          <w:numId w:val="2"/>
        </w:numPr>
        <w:jc w:val="both"/>
        <w:rPr>
          <w:sz w:val="20"/>
        </w:rPr>
      </w:pPr>
      <w:r>
        <w:rPr>
          <w:sz w:val="20"/>
        </w:rPr>
        <w:t>Coal-based Synthetic Fuel</w:t>
      </w:r>
    </w:p>
    <w:p>
      <w:pPr>
        <w:pStyle w:val="Normal"/>
        <w:numPr>
          <w:ilvl w:val="0"/>
          <w:numId w:val="2"/>
        </w:numPr>
        <w:jc w:val="both"/>
        <w:rPr>
          <w:sz w:val="20"/>
        </w:rPr>
      </w:pPr>
      <w:r>
        <w:rPr>
          <w:sz w:val="20"/>
        </w:rPr>
        <w:t>Dry-bulk Ocean Freight</w:t>
      </w:r>
    </w:p>
    <w:p>
      <w:pPr>
        <w:pStyle w:val="Normal"/>
        <w:numPr>
          <w:ilvl w:val="0"/>
          <w:numId w:val="2"/>
        </w:numPr>
        <w:jc w:val="both"/>
        <w:rPr>
          <w:sz w:val="20"/>
        </w:rPr>
      </w:pPr>
      <w:r>
        <w:rPr>
          <w:sz w:val="20"/>
        </w:rPr>
        <w:t>Petroleum Coke</w:t>
      </w:r>
    </w:p>
    <w:p>
      <w:pPr>
        <w:pStyle w:val="Normal"/>
        <w:jc w:val="both"/>
        <w:rPr>
          <w:sz w:val="20"/>
        </w:rPr>
      </w:pPr>
      <w:r>
        <w:rPr>
          <w:sz w:val="20"/>
        </w:rPr>
      </w:r>
    </w:p>
    <w:p>
      <w:pPr>
        <w:pStyle w:val="Heading7"/>
        <w:ind w:hanging="0" w:start="0"/>
        <w:rPr>
          <w:rFonts w:ascii="Arial" w:hAnsi="Arial" w:cs="Arial"/>
          <w:sz w:val="20"/>
        </w:rPr>
      </w:pPr>
      <w:r>
        <w:rPr>
          <w:rFonts w:cs="Arial" w:ascii="Arial" w:hAnsi="Arial"/>
          <w:sz w:val="20"/>
        </w:rPr>
        <w:t>Markets approved for trading</w:t>
      </w:r>
    </w:p>
    <w:p>
      <w:pPr>
        <w:pStyle w:val="Normal"/>
        <w:jc w:val="both"/>
        <w:rPr>
          <w:rFonts w:ascii="Arial" w:hAnsi="Arial" w:cs="Arial"/>
          <w:sz w:val="20"/>
        </w:rPr>
      </w:pPr>
      <w:r>
        <w:rPr>
          <w:rFonts w:cs="Arial"/>
          <w:sz w:val="20"/>
        </w:rPr>
      </w:r>
    </w:p>
    <w:p>
      <w:pPr>
        <w:pStyle w:val="Normal"/>
        <w:numPr>
          <w:ilvl w:val="0"/>
          <w:numId w:val="3"/>
        </w:numPr>
        <w:jc w:val="both"/>
        <w:rPr>
          <w:sz w:val="20"/>
        </w:rPr>
      </w:pPr>
      <w:r>
        <w:rPr>
          <w:sz w:val="20"/>
        </w:rPr>
        <w:t>North America</w:t>
      </w:r>
    </w:p>
    <w:p>
      <w:pPr>
        <w:pStyle w:val="Normal"/>
        <w:numPr>
          <w:ilvl w:val="0"/>
          <w:numId w:val="3"/>
        </w:numPr>
        <w:jc w:val="both"/>
        <w:rPr>
          <w:sz w:val="20"/>
        </w:rPr>
      </w:pPr>
      <w:r>
        <w:rPr>
          <w:sz w:val="20"/>
        </w:rPr>
        <w:t>South America</w:t>
      </w:r>
    </w:p>
    <w:p>
      <w:pPr>
        <w:pStyle w:val="Normal"/>
        <w:numPr>
          <w:ilvl w:val="0"/>
          <w:numId w:val="3"/>
        </w:numPr>
        <w:jc w:val="both"/>
        <w:rPr>
          <w:sz w:val="20"/>
        </w:rPr>
      </w:pPr>
      <w:r>
        <w:rPr>
          <w:sz w:val="20"/>
        </w:rPr>
        <w:t>United Kingdom</w:t>
      </w:r>
    </w:p>
    <w:p>
      <w:pPr>
        <w:pStyle w:val="Normal"/>
        <w:numPr>
          <w:ilvl w:val="0"/>
          <w:numId w:val="3"/>
        </w:numPr>
        <w:jc w:val="both"/>
        <w:rPr>
          <w:sz w:val="20"/>
        </w:rPr>
      </w:pPr>
      <w:r>
        <w:rPr>
          <w:sz w:val="20"/>
        </w:rPr>
        <w:t>Asia</w:t>
      </w:r>
    </w:p>
    <w:p>
      <w:pPr>
        <w:pStyle w:val="Normal"/>
        <w:numPr>
          <w:ilvl w:val="0"/>
          <w:numId w:val="3"/>
        </w:numPr>
        <w:jc w:val="both"/>
        <w:rPr>
          <w:sz w:val="20"/>
        </w:rPr>
      </w:pPr>
      <w:r>
        <w:rPr>
          <w:sz w:val="20"/>
        </w:rPr>
        <w:t>Europe</w:t>
      </w:r>
    </w:p>
    <w:p>
      <w:pPr>
        <w:pStyle w:val="Normal"/>
        <w:numPr>
          <w:ilvl w:val="0"/>
          <w:numId w:val="3"/>
        </w:numPr>
        <w:jc w:val="both"/>
        <w:rPr>
          <w:sz w:val="20"/>
        </w:rPr>
      </w:pPr>
      <w:r>
        <w:rPr>
          <w:sz w:val="20"/>
        </w:rPr>
        <w:t>Africa</w:t>
      </w:r>
    </w:p>
    <w:p>
      <w:pPr>
        <w:pStyle w:val="Normal"/>
        <w:jc w:val="both"/>
        <w:rPr>
          <w:sz w:val="20"/>
        </w:rPr>
      </w:pPr>
      <w:r>
        <w:rPr>
          <w:sz w:val="20"/>
        </w:rPr>
      </w:r>
    </w:p>
    <w:p>
      <w:pPr>
        <w:pStyle w:val="Normal"/>
        <w:ind w:hanging="2160" w:start="2160" w:end="0"/>
        <w:jc w:val="both"/>
        <w:rPr>
          <w:b/>
          <w:sz w:val="20"/>
          <w:u w:val="single"/>
        </w:rPr>
      </w:pPr>
      <w:r>
        <w:rPr>
          <w:b/>
          <w:sz w:val="20"/>
          <w:u w:val="single"/>
        </w:rPr>
        <w:t>Market Background:</w:t>
      </w:r>
    </w:p>
    <w:p>
      <w:pPr>
        <w:pStyle w:val="Normal"/>
        <w:jc w:val="both"/>
        <w:rPr>
          <w:b/>
          <w:sz w:val="20"/>
          <w:u w:val="single"/>
        </w:rPr>
      </w:pPr>
      <w:r>
        <w:rPr>
          <w:b/>
          <w:sz w:val="20"/>
          <w:u w:val="single"/>
        </w:rPr>
      </w:r>
    </w:p>
    <w:p>
      <w:pPr>
        <w:pStyle w:val="Normal"/>
        <w:ind w:hanging="1440" w:start="720" w:end="0"/>
        <w:rPr>
          <w:sz w:val="20"/>
        </w:rPr>
      </w:pPr>
      <w:r>
        <w:rPr>
          <w:sz w:val="20"/>
        </w:rPr>
        <w:tab/>
        <w:tab/>
        <w:t>The domestic and international coal markets have existed for decades.  Prior to energy marketers entering the market, most coal was sold from producer to utility under long-term contracts with few, if any, intermediaries.  These contracts were heavily weighted in favor of the utilities, the buyers.  Producers typically would give away numerous swing and extendible options for little or no compensation.  A small percentage of coal sales were transacted on a spot basis.</w:t>
      </w:r>
    </w:p>
    <w:p>
      <w:pPr>
        <w:pStyle w:val="Normal"/>
        <w:ind w:hanging="1440" w:start="720" w:end="0"/>
        <w:rPr>
          <w:b/>
          <w:sz w:val="20"/>
        </w:rPr>
      </w:pPr>
      <w:r>
        <w:rPr>
          <w:b/>
          <w:sz w:val="20"/>
        </w:rPr>
      </w:r>
    </w:p>
    <w:p>
      <w:pPr>
        <w:pStyle w:val="Normal"/>
        <w:ind w:hanging="1440" w:start="720" w:end="0"/>
        <w:rPr>
          <w:sz w:val="20"/>
        </w:rPr>
      </w:pPr>
      <w:r>
        <w:rPr>
          <w:sz w:val="20"/>
        </w:rPr>
        <w:tab/>
        <w:tab/>
        <w:t>Coal that is produced in the eastern United States is predominately mined underground in the Appalachian region of the U.S.  Western U.S. coal is surface mined in the Powder River Basin of Wyoming and Montana.  Domestic coal is transported via railroads and river barge shipments, though trucks and conveyor belts are used for short hauls.  International coal is largely produced in South America, Australia, South Africa and Indonesia with ocean deliveries to Europe, Southeast Asia, and America.</w:t>
      </w:r>
    </w:p>
    <w:p>
      <w:pPr>
        <w:pStyle w:val="Normal"/>
        <w:ind w:hanging="1440" w:start="720" w:end="0"/>
        <w:rPr>
          <w:sz w:val="20"/>
        </w:rPr>
      </w:pPr>
      <w:r>
        <w:rPr>
          <w:sz w:val="20"/>
        </w:rPr>
      </w:r>
    </w:p>
    <w:p>
      <w:pPr>
        <w:pStyle w:val="Normal"/>
        <w:ind w:hanging="1440" w:start="720" w:end="0"/>
        <w:rPr>
          <w:sz w:val="20"/>
        </w:rPr>
      </w:pPr>
      <w:r>
        <w:rPr>
          <w:sz w:val="20"/>
        </w:rPr>
        <w:tab/>
        <w:tab/>
        <w:t xml:space="preserve">Coal differs from most commodities because not all coal is of the same quality.  Btu, sulfur, ash, volatility, grindability and fusion as well as location of the mine influence coal pricing whereas in other commodity markets only location influences price.  </w:t>
      </w:r>
      <w:r>
        <w:br w:type="page"/>
      </w:r>
    </w:p>
    <w:p>
      <w:pPr>
        <w:pStyle w:val="BodyTextIndent2"/>
        <w:rPr/>
      </w:pPr>
      <w:r>
        <w:rPr/>
        <w:t>The coal market is in a state of transformation as the long-term contracts signed in the 1980’s expire.  Most of the new contracts are of a much shorter duration.  The contracts currently being signed have a maximum duration of three to five years.  Since many of the long-term contracts were priced substantially above the current market prices, numerous producers are experiencing difficulty making a profit at the current prices.  The threat of bankruptcy has led to consolidation among producers.  The entrance of the energy marketers, led by Enron, Duke, Aquila and Dynegy, have provided increased liquidity and price transparency along with the addition of option pricing theory and risk management techniques.</w:t>
      </w:r>
    </w:p>
    <w:p>
      <w:pPr>
        <w:pStyle w:val="Normal"/>
        <w:ind w:hanging="1440" w:start="720" w:end="0"/>
        <w:rPr>
          <w:sz w:val="20"/>
        </w:rPr>
      </w:pPr>
      <w:r>
        <w:rPr>
          <w:sz w:val="20"/>
        </w:rPr>
      </w:r>
    </w:p>
    <w:p>
      <w:pPr>
        <w:pStyle w:val="Normal"/>
        <w:ind w:hanging="1440" w:start="720" w:end="0"/>
        <w:rPr>
          <w:sz w:val="20"/>
        </w:rPr>
      </w:pPr>
      <w:r>
        <w:rPr>
          <w:sz w:val="20"/>
        </w:rPr>
        <w:tab/>
        <w:tab/>
        <w:t>The NYMEX exchange has drafted a central-Appalachian coal contract that has traded over-the-counter for more than two years.  The Western U.S. market has developed two over-the-counter products, 8400 Btu and 8800 Btu coal.  Both products are traded FOB mine in the Powder River Basin.  The fledgling international OTC market is trading a standardized coal contract located at the Antwerp/Rotterdam/Amsterdam ports.  International location differences are hedged by trading freight in the developed dry-bulk ocean freight market.</w:t>
      </w:r>
    </w:p>
    <w:p>
      <w:pPr>
        <w:pStyle w:val="Normal"/>
        <w:ind w:hanging="1440" w:start="720" w:end="0"/>
        <w:rPr>
          <w:sz w:val="20"/>
        </w:rPr>
      </w:pPr>
      <w:r>
        <w:rPr>
          <w:sz w:val="20"/>
        </w:rPr>
      </w:r>
    </w:p>
    <w:p>
      <w:pPr>
        <w:pStyle w:val="Normal"/>
        <w:ind w:hanging="1440" w:start="720" w:end="0"/>
        <w:rPr>
          <w:sz w:val="20"/>
        </w:rPr>
      </w:pPr>
      <w:r>
        <w:rPr>
          <w:sz w:val="20"/>
        </w:rPr>
        <w:tab/>
        <w:tab/>
        <w:t>The domestic U.S. coal market has been greatly influenced in the past year by the existence of the Section 29 Tax Credit.  This legislation provides tax credits based on Btu for coal that is chemically changed with a binding agent.  The tax credits can be more than $25 per ton for a product that may only cost $25 per ton.  This substantial credit is available through 2007.</w:t>
      </w:r>
    </w:p>
    <w:p>
      <w:pPr>
        <w:pStyle w:val="Normal"/>
        <w:ind w:hanging="1440" w:start="1440" w:end="0"/>
        <w:jc w:val="both"/>
        <w:rPr>
          <w:sz w:val="20"/>
        </w:rPr>
      </w:pPr>
      <w:r>
        <w:rPr>
          <w:sz w:val="20"/>
        </w:rPr>
      </w:r>
    </w:p>
    <w:p>
      <w:pPr>
        <w:pStyle w:val="Normal"/>
        <w:tabs>
          <w:tab w:val="clear" w:pos="540"/>
          <w:tab w:val="left" w:pos="0" w:leader="none"/>
          <w:tab w:val="left" w:pos="4320" w:leader="none"/>
        </w:tabs>
        <w:ind w:hanging="1440" w:start="1440" w:end="0"/>
        <w:jc w:val="both"/>
        <w:rPr>
          <w:b/>
          <w:sz w:val="20"/>
          <w:u w:val="single"/>
        </w:rPr>
      </w:pPr>
      <w:r>
        <w:rPr>
          <w:b/>
          <w:sz w:val="20"/>
          <w:u w:val="single"/>
        </w:rPr>
      </w:r>
    </w:p>
    <w:p>
      <w:pPr>
        <w:pStyle w:val="Normal"/>
        <w:tabs>
          <w:tab w:val="left" w:pos="540" w:leader="none"/>
          <w:tab w:val="left" w:pos="4320" w:leader="none"/>
        </w:tabs>
        <w:ind w:hanging="1440" w:start="1440" w:end="0"/>
        <w:jc w:val="both"/>
        <w:rPr>
          <w:sz w:val="20"/>
        </w:rPr>
      </w:pPr>
      <w:r>
        <w:rPr>
          <w:b/>
          <w:sz w:val="20"/>
          <w:u w:val="single"/>
        </w:rPr>
        <w:t>Market Background:</w:t>
      </w:r>
    </w:p>
    <w:p>
      <w:pPr>
        <w:pStyle w:val="Normal"/>
        <w:tabs>
          <w:tab w:val="left" w:pos="540" w:leader="none"/>
          <w:tab w:val="left" w:pos="4320" w:leader="none"/>
        </w:tabs>
        <w:ind w:hanging="1440" w:start="1440" w:end="0"/>
        <w:jc w:val="both"/>
        <w:rPr>
          <w:sz w:val="20"/>
        </w:rPr>
      </w:pPr>
      <w:r>
        <w:rPr>
          <w:sz w:val="20"/>
        </w:rPr>
      </w:r>
    </w:p>
    <w:p>
      <w:pPr>
        <w:pStyle w:val="Normal"/>
        <w:ind w:hanging="1440" w:start="720" w:end="0"/>
        <w:rPr>
          <w:sz w:val="20"/>
        </w:rPr>
      </w:pPr>
      <w:r>
        <w:rPr>
          <w:sz w:val="20"/>
        </w:rPr>
        <w:tab/>
        <w:tab/>
        <w:t>In 1997, Enron entered the domestic U.S. coal market by structuring several finance deals with Central Appalachian coal producers.  Enron also began trading NYMEX Look-alike coal and Powder River Basin coal in the newly developed over-the-counter market.  In early 1999, Enron started an international coal desk based in London.</w:t>
      </w:r>
    </w:p>
    <w:p>
      <w:pPr>
        <w:pStyle w:val="Normal"/>
        <w:ind w:hanging="1440" w:start="720" w:end="0"/>
        <w:rPr>
          <w:sz w:val="20"/>
        </w:rPr>
      </w:pPr>
      <w:r>
        <w:rPr>
          <w:sz w:val="20"/>
        </w:rPr>
      </w:r>
    </w:p>
    <w:p>
      <w:pPr>
        <w:pStyle w:val="Normal"/>
        <w:tabs>
          <w:tab w:val="left" w:pos="540" w:leader="none"/>
          <w:tab w:val="left" w:pos="4320" w:leader="none"/>
        </w:tabs>
        <w:ind w:hanging="1440" w:start="720" w:end="0"/>
        <w:rPr>
          <w:sz w:val="20"/>
        </w:rPr>
      </w:pPr>
      <w:r>
        <w:rPr>
          <w:sz w:val="20"/>
        </w:rPr>
        <w:tab/>
        <w:tab/>
        <w:t>Enron quotes two-way prices for all standardized products traded in the domestic U.S. and international markets.  These products include NYMEX Look-alike, 8400 Btu Powder River Basin, 8800 Btu Powder River Basin and the Antwerp/Rotterdam/Amsterdam International (S.E.C.A.) Contract.  The international group also trades ocean freight.</w:t>
      </w:r>
    </w:p>
    <w:p>
      <w:pPr>
        <w:pStyle w:val="Normal"/>
        <w:tabs>
          <w:tab w:val="left" w:pos="540" w:leader="none"/>
          <w:tab w:val="left" w:pos="4320" w:leader="none"/>
        </w:tabs>
        <w:ind w:hanging="1440" w:start="720" w:end="0"/>
        <w:rPr>
          <w:sz w:val="20"/>
        </w:rPr>
      </w:pPr>
      <w:r>
        <w:rPr>
          <w:sz w:val="20"/>
        </w:rPr>
      </w:r>
    </w:p>
    <w:p>
      <w:pPr>
        <w:pStyle w:val="Normal"/>
        <w:tabs>
          <w:tab w:val="left" w:pos="540" w:leader="none"/>
          <w:tab w:val="left" w:pos="4320" w:leader="none"/>
        </w:tabs>
        <w:ind w:hanging="1440" w:start="720" w:end="0"/>
        <w:rPr/>
      </w:pPr>
      <w:r>
        <w:rPr>
          <w:b/>
          <w:sz w:val="20"/>
        </w:rPr>
        <w:tab/>
        <w:tab/>
      </w:r>
      <w:r>
        <w:rPr>
          <w:sz w:val="20"/>
        </w:rPr>
        <w:t>Enron’s main strategy is to take coal positions through structured transactions and market making activities based on thorough analysis of a developing, but currently illiquid market.  Secondly, Enron has entered the coal based synthetic fuel business to participate in the Section 29 tax credits.  Enron also trades dry-bulk ocean freight to complement the international coal marketing and trading business.</w:t>
      </w:r>
    </w:p>
    <w:p>
      <w:pPr>
        <w:pStyle w:val="Normal"/>
        <w:tabs>
          <w:tab w:val="left" w:pos="540" w:leader="none"/>
          <w:tab w:val="left" w:pos="4320" w:leader="none"/>
        </w:tabs>
        <w:ind w:hanging="1440" w:start="720" w:end="0"/>
        <w:rPr>
          <w:sz w:val="20"/>
        </w:rPr>
      </w:pPr>
      <w:r>
        <w:rPr>
          <w:sz w:val="20"/>
        </w:rPr>
      </w:r>
    </w:p>
    <w:p>
      <w:pPr>
        <w:pStyle w:val="Normal"/>
        <w:tabs>
          <w:tab w:val="left" w:pos="540" w:leader="none"/>
          <w:tab w:val="left" w:pos="4320" w:leader="none"/>
        </w:tabs>
        <w:ind w:hanging="1440" w:start="720" w:end="0"/>
        <w:rPr>
          <w:sz w:val="20"/>
        </w:rPr>
      </w:pPr>
      <w:r>
        <w:rPr>
          <w:sz w:val="20"/>
        </w:rPr>
        <w:tab/>
        <w:tab/>
        <w:t xml:space="preserve">EnronOnline has greatly aided the development of the domestic and international coal markets.  Before EnronOnline, there was not a liquid spot market in the eastern United States and spot-month coal volatility was approximately four percent. </w:t>
      </w:r>
    </w:p>
    <w:p>
      <w:pPr>
        <w:pStyle w:val="Normal"/>
        <w:tabs>
          <w:tab w:val="left" w:pos="540" w:leader="none"/>
          <w:tab w:val="left" w:pos="4320" w:leader="none"/>
        </w:tabs>
        <w:ind w:hanging="1440" w:start="720" w:end="0"/>
        <w:rPr>
          <w:rFonts w:eastAsia="Arial"/>
          <w:sz w:val="20"/>
        </w:rPr>
      </w:pPr>
      <w:r>
        <w:rPr>
          <w:rFonts w:eastAsia="Arial"/>
          <w:sz w:val="20"/>
        </w:rPr>
        <w:t xml:space="preserve"> </w:t>
      </w:r>
    </w:p>
    <w:p>
      <w:pPr>
        <w:pStyle w:val="Normal"/>
        <w:tabs>
          <w:tab w:val="left" w:pos="540" w:leader="none"/>
          <w:tab w:val="left" w:pos="4320" w:leader="none"/>
        </w:tabs>
        <w:ind w:hanging="1440" w:start="1440" w:end="0"/>
        <w:jc w:val="both"/>
        <w:rPr>
          <w:sz w:val="20"/>
        </w:rPr>
      </w:pPr>
      <w:r>
        <w:rPr>
          <w:b/>
          <w:sz w:val="20"/>
          <w:u w:val="single"/>
        </w:rPr>
        <w:t>Enron’s Strategy:</w:t>
      </w:r>
    </w:p>
    <w:p>
      <w:pPr>
        <w:pStyle w:val="Normal"/>
        <w:tabs>
          <w:tab w:val="left" w:pos="540" w:leader="none"/>
          <w:tab w:val="left" w:pos="4320" w:leader="none"/>
        </w:tabs>
        <w:ind w:hanging="1440" w:start="1440" w:end="0"/>
        <w:jc w:val="both"/>
        <w:rPr>
          <w:sz w:val="20"/>
        </w:rPr>
      </w:pPr>
      <w:r>
        <w:rPr>
          <w:sz w:val="20"/>
        </w:rPr>
      </w:r>
    </w:p>
    <w:p>
      <w:pPr>
        <w:pStyle w:val="Normal"/>
        <w:ind w:hanging="1440" w:start="720" w:end="0"/>
        <w:rPr>
          <w:sz w:val="20"/>
        </w:rPr>
      </w:pPr>
      <w:r>
        <w:rPr>
          <w:sz w:val="20"/>
        </w:rPr>
        <w:tab/>
        <w:tab/>
        <w:t>At current market conditions, we feel very comfortable with our current Net Operating Position.   The international steam coal market has peaked and we are well positioned for the current price movement.  The domestic steam coal market is at unprecedented spot levels that present ideal conditions for longer-term sales.  As our position limits are approved, we will be looking to add to this short position with incremental short positions (3 to 10 year terms) and possibly additional Synfuel spread positions.</w:t>
      </w:r>
    </w:p>
    <w:p>
      <w:pPr>
        <w:pStyle w:val="Normal"/>
        <w:ind w:hanging="1440" w:start="720" w:end="0"/>
        <w:rPr>
          <w:sz w:val="20"/>
        </w:rPr>
      </w:pPr>
      <w:r>
        <w:rPr>
          <w:sz w:val="20"/>
        </w:rPr>
      </w:r>
    </w:p>
    <w:p>
      <w:pPr>
        <w:pStyle w:val="Normal"/>
        <w:ind w:hanging="1440" w:start="720" w:end="0"/>
        <w:rPr>
          <w:sz w:val="20"/>
        </w:rPr>
      </w:pPr>
      <w:r>
        <w:rPr>
          <w:sz w:val="20"/>
        </w:rPr>
        <w:tab/>
        <w:tab/>
        <w:t xml:space="preserve">The combination of increased volatility, increased activity on EOL, a focus in 2001 of doing more term deals and an increase in budget requirements ($ 50.0 million to $ 75.0 million) is reflective of our request for an increase of net operating position to 38.0 million metric tons. Our VAR increase request (to $ 8.0 million, of which $2 million can be freight) is reflective of the increased budget target as well as the substantial increase in the volatility of our domestic coal market (75 – 100 % increase in over a 6-month period). </w:t>
      </w:r>
    </w:p>
    <w:p>
      <w:pPr>
        <w:pStyle w:val="Normal"/>
        <w:ind w:hanging="1440" w:start="720" w:end="0"/>
        <w:rPr>
          <w:sz w:val="20"/>
        </w:rPr>
      </w:pPr>
      <w:r>
        <w:rPr>
          <w:sz w:val="20"/>
        </w:rPr>
      </w:r>
    </w:p>
    <w:p>
      <w:pPr>
        <w:pStyle w:val="Normal"/>
        <w:ind w:hanging="1440" w:start="720" w:end="0"/>
        <w:rPr>
          <w:sz w:val="20"/>
        </w:rPr>
      </w:pPr>
      <w:r>
        <w:rPr>
          <w:sz w:val="20"/>
        </w:rPr>
      </w:r>
    </w:p>
    <w:p>
      <w:pPr>
        <w:pStyle w:val="Normal"/>
        <w:tabs>
          <w:tab w:val="left" w:pos="540" w:leader="none"/>
          <w:tab w:val="left" w:pos="4320" w:leader="none"/>
        </w:tabs>
        <w:ind w:hanging="1440" w:start="720" w:end="0"/>
        <w:rPr>
          <w:sz w:val="20"/>
        </w:rPr>
      </w:pPr>
      <w:r>
        <w:rPr>
          <w:sz w:val="20"/>
        </w:rPr>
        <w:tab/>
        <w:tab/>
        <w:t xml:space="preserve">Enron is well positioned in the maturing domestic and international coal markets to benefit from increased volatility and trading volume and to profit from coal-based synthetic fuel and dry-bulk ocean freight positions.  As a result of the overwhelming success of EnronOnline, the number of transactions has increased throughout 2000.  And due to Enron’s growing expertise and presence in the coal market, opportunities for more significant structured transactions are evolving.  For these reasons, the Enron Coal Group is requesting the following limit increases: </w:t>
      </w:r>
    </w:p>
    <w:p>
      <w:pPr>
        <w:pStyle w:val="Normal"/>
        <w:tabs>
          <w:tab w:val="left" w:pos="540" w:leader="none"/>
          <w:tab w:val="left" w:pos="4320" w:leader="none"/>
        </w:tabs>
        <w:ind w:hanging="1440" w:start="720" w:end="0"/>
        <w:rPr>
          <w:sz w:val="20"/>
        </w:rPr>
      </w:pPr>
      <w:r>
        <w:rPr>
          <w:sz w:val="20"/>
        </w:rPr>
      </w:r>
    </w:p>
    <w:p>
      <w:pPr>
        <w:pStyle w:val="Heading8"/>
        <w:ind w:hanging="0" w:start="0"/>
        <w:rPr>
          <w:u w:val="none"/>
        </w:rPr>
      </w:pPr>
      <w:r>
        <w:rPr>
          <w:u w:val="none"/>
        </w:rPr>
        <w:t>Requested Risk Limits:</w:t>
      </w:r>
    </w:p>
    <w:p>
      <w:pPr>
        <w:pStyle w:val="Normal"/>
        <w:numPr>
          <w:ilvl w:val="0"/>
          <w:numId w:val="4"/>
        </w:numPr>
        <w:rPr>
          <w:sz w:val="20"/>
        </w:rPr>
      </w:pPr>
      <w:r>
        <w:rPr>
          <w:sz w:val="20"/>
        </w:rPr>
        <w:t>Maximum Net Open Position:</w:t>
        <w:tab/>
        <w:t>38.0 Million Metric Tons</w:t>
      </w:r>
    </w:p>
    <w:p>
      <w:pPr>
        <w:pStyle w:val="Normal"/>
        <w:numPr>
          <w:ilvl w:val="0"/>
          <w:numId w:val="4"/>
        </w:numPr>
        <w:rPr>
          <w:sz w:val="20"/>
        </w:rPr>
      </w:pPr>
      <w:r>
        <w:rPr>
          <w:sz w:val="20"/>
        </w:rPr>
        <w:t>Maximum Coal Value-at-Risk:</w:t>
        <w:tab/>
        <w:t>$ 8.0 Million ($ 2.0 Million of which can be Freight)</w:t>
      </w:r>
    </w:p>
    <w:p>
      <w:pPr>
        <w:pStyle w:val="Normal"/>
        <w:numPr>
          <w:ilvl w:val="0"/>
          <w:numId w:val="4"/>
        </w:numPr>
        <w:rPr>
          <w:sz w:val="20"/>
        </w:rPr>
      </w:pPr>
      <w:r>
        <w:rPr>
          <w:sz w:val="20"/>
        </w:rPr>
        <w:t>Maturity Gap</w:t>
        <w:tab/>
        <w:tab/>
        <w:tab/>
        <w:t>38.0 Million Metric Tons</w:t>
      </w:r>
    </w:p>
    <w:p>
      <w:pPr>
        <w:pStyle w:val="Normal"/>
        <w:rPr>
          <w:sz w:val="20"/>
        </w:rPr>
      </w:pPr>
      <w:r>
        <w:rPr>
          <w:sz w:val="20"/>
        </w:rPr>
        <w:tab/>
        <w:tab/>
        <w:tab/>
      </w:r>
    </w:p>
    <w:p>
      <w:pPr>
        <w:pStyle w:val="Heading8"/>
        <w:ind w:hanging="0" w:start="0"/>
        <w:rPr>
          <w:u w:val="none"/>
        </w:rPr>
      </w:pPr>
      <w:r>
        <w:rPr>
          <w:u w:val="none"/>
        </w:rPr>
        <w:t>Current Risk Limits:</w:t>
      </w:r>
    </w:p>
    <w:p>
      <w:pPr>
        <w:pStyle w:val="Normal"/>
        <w:numPr>
          <w:ilvl w:val="0"/>
          <w:numId w:val="4"/>
        </w:numPr>
        <w:rPr>
          <w:sz w:val="20"/>
        </w:rPr>
      </w:pPr>
      <w:r>
        <w:rPr>
          <w:sz w:val="20"/>
        </w:rPr>
        <w:t>Maximum Net Open Position:</w:t>
        <w:tab/>
        <w:t>15.0 Million Metric Tons</w:t>
      </w:r>
    </w:p>
    <w:p>
      <w:pPr>
        <w:pStyle w:val="Normal"/>
        <w:numPr>
          <w:ilvl w:val="0"/>
          <w:numId w:val="4"/>
        </w:numPr>
        <w:rPr>
          <w:sz w:val="20"/>
        </w:rPr>
      </w:pPr>
      <w:r>
        <w:rPr>
          <w:sz w:val="20"/>
        </w:rPr>
        <w:t>Maximum Coal Value-at-Risk:</w:t>
        <w:tab/>
        <w:t>$ 4.0 Million</w:t>
      </w:r>
    </w:p>
    <w:p>
      <w:pPr>
        <w:pStyle w:val="Normal"/>
        <w:numPr>
          <w:ilvl w:val="0"/>
          <w:numId w:val="4"/>
        </w:numPr>
        <w:rPr>
          <w:sz w:val="20"/>
        </w:rPr>
      </w:pPr>
      <w:r>
        <w:rPr>
          <w:sz w:val="20"/>
        </w:rPr>
        <w:t>Maturity Gap</w:t>
        <w:tab/>
        <w:tab/>
        <w:tab/>
        <w:t>15.0 Million Metric Tons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1"/>
        <w:tabs>
          <w:tab w:val="left" w:pos="540" w:leader="none"/>
        </w:tabs>
        <w:ind w:hanging="0" w:start="0"/>
        <w:rPr>
          <w:rFonts w:ascii="Arial" w:hAnsi="Arial" w:cs="Arial"/>
          <w:sz w:val="20"/>
        </w:rPr>
      </w:pPr>
      <w:r>
        <w:rPr>
          <w:rFonts w:cs="Arial" w:ascii="Arial" w:hAnsi="Arial"/>
          <w:sz w:val="20"/>
        </w:rPr>
      </w:r>
    </w:p>
    <w:p>
      <w:pPr>
        <w:pStyle w:val="Normal"/>
        <w:rPr>
          <w:rFonts w:ascii="Arial" w:hAnsi="Arial" w:cs="Arial"/>
        </w:rPr>
      </w:pPr>
      <w:r>
        <w:rPr>
          <w:rFonts w:cs="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 w:val="left" w:pos="540" w:leader="none"/>
        </w:tabs>
        <w:rPr/>
      </w:pPr>
      <w:r>
        <w:rPr/>
      </w:r>
      <w:r>
        <w:br w:type="page"/>
      </w:r>
    </w:p>
    <w:p>
      <w:pPr>
        <w:pStyle w:val="BodyText"/>
        <w:jc w:val="start"/>
        <w:rPr>
          <w:rFonts w:ascii="Arial" w:hAnsi="Arial" w:cs="Arial"/>
          <w:sz w:val="20"/>
        </w:rPr>
      </w:pPr>
      <w:r>
        <w:rPr>
          <w:rFonts w:cs="Arial" w:ascii="Arial" w:hAnsi="Arial"/>
          <w:sz w:val="20"/>
        </w:rPr>
      </w:r>
    </w:p>
    <w:p>
      <w:pPr>
        <w:pStyle w:val="Normal"/>
        <w:tabs>
          <w:tab w:val="left" w:pos="540" w:leader="none"/>
          <w:tab w:val="left" w:pos="2520" w:leader="none"/>
        </w:tabs>
        <w:ind w:hanging="2160" w:start="2160" w:end="0"/>
        <w:jc w:val="both"/>
        <w:rPr>
          <w:sz w:val="20"/>
        </w:rPr>
      </w:pPr>
      <w:r>
        <w:rPr>
          <w:b/>
          <w:sz w:val="20"/>
          <w:u w:val="single"/>
        </w:rPr>
        <w:t>Approvals</w:t>
      </w:r>
    </w:p>
    <w:p>
      <w:pPr>
        <w:pStyle w:val="Normal"/>
        <w:tabs>
          <w:tab w:val="left" w:pos="540" w:leader="none"/>
          <w:tab w:val="left" w:pos="2520" w:leader="none"/>
        </w:tabs>
        <w:ind w:hanging="2160" w:start="2160" w:end="0"/>
        <w:jc w:val="both"/>
        <w:rPr>
          <w:sz w:val="20"/>
        </w:rPr>
      </w:pPr>
      <w:r>
        <w:rPr>
          <w:sz w:val="20"/>
        </w:rPr>
      </w:r>
    </w:p>
    <w:p>
      <w:pPr>
        <w:pStyle w:val="BodyText"/>
        <w:rPr/>
      </w:pPr>
      <w:r>
        <w:rPr>
          <w:rFonts w:cs="Arial" w:ascii="Arial" w:hAnsi="Arial"/>
          <w:sz w:val="20"/>
        </w:rPr>
        <w:t>The aforementioned limits are effective on _________, subject to completion of the items listed in the</w:t>
      </w:r>
      <w:r>
        <w:rPr>
          <w:rFonts w:cs="Arial" w:ascii="Arial" w:hAnsi="Arial"/>
          <w:b/>
          <w:sz w:val="20"/>
        </w:rPr>
        <w:t xml:space="preserve"> Conditions Precedent</w:t>
      </w:r>
      <w:r>
        <w:rPr>
          <w:rFonts w:cs="Arial" w:ascii="Arial" w:hAnsi="Arial"/>
          <w:sz w:val="20"/>
        </w:rPr>
        <w:t xml:space="preserve"> section, and shall remain in place unless amended by the signatories through the end of _____ (no more than 6 months for new commodity).  </w:t>
      </w:r>
    </w:p>
    <w:p>
      <w:pPr>
        <w:pStyle w:val="BodyText"/>
        <w:rPr>
          <w:rFonts w:ascii="Arial" w:hAnsi="Arial" w:cs="Arial"/>
          <w:sz w:val="20"/>
        </w:rPr>
      </w:pPr>
      <w:r>
        <w:rPr>
          <w:rFonts w:cs="Arial" w:ascii="Arial" w:hAnsi="Arial"/>
          <w:sz w:val="20"/>
        </w:rPr>
      </w:r>
    </w:p>
    <w:p>
      <w:pPr>
        <w:pStyle w:val="BodyText"/>
        <w:rPr/>
      </w:pPr>
      <w:r>
        <w:rPr>
          <w:rFonts w:cs="Arial" w:ascii="Arial" w:hAnsi="Arial"/>
          <w:sz w:val="20"/>
        </w:rPr>
        <w:t xml:space="preserve">Signature below signifies this function will have the infrastructure in place to handle this new business, unless noted above in the </w:t>
      </w:r>
      <w:r>
        <w:rPr>
          <w:rFonts w:cs="Arial" w:ascii="Arial" w:hAnsi="Arial"/>
          <w:b/>
          <w:sz w:val="20"/>
        </w:rPr>
        <w:t>Conditions Precedent</w:t>
      </w:r>
      <w:r>
        <w:rPr>
          <w:rFonts w:cs="Arial" w:ascii="Arial" w:hAnsi="Arial"/>
          <w:sz w:val="20"/>
        </w:rPr>
        <w:t xml:space="preserve"> section.</w:t>
      </w:r>
    </w:p>
    <w:p>
      <w:pPr>
        <w:pStyle w:val="BodyText"/>
        <w:rPr/>
      </w:pPr>
      <w:r>
        <w:rPr>
          <w:rFonts w:cs="Arial" w:ascii="Arial" w:hAnsi="Arial"/>
          <w:sz w:val="20"/>
        </w:rPr>
        <w:tab/>
        <w:tab/>
        <w:tab/>
        <w:tab/>
        <w:tab/>
        <w:tab/>
        <w:t xml:space="preserve">          </w:t>
      </w:r>
      <w:r>
        <w:rPr>
          <w:rFonts w:cs="Arial" w:ascii="Arial" w:hAnsi="Arial"/>
          <w:b/>
          <w:sz w:val="20"/>
        </w:rPr>
        <w:t>Approved</w:t>
        <w:tab/>
        <w:tab/>
        <w:tab/>
        <w:tab/>
        <w:t>Date</w:t>
      </w:r>
    </w:p>
    <w:p>
      <w:pPr>
        <w:pStyle w:val="BodyText"/>
        <w:rPr>
          <w:rFonts w:ascii="Arial" w:hAnsi="Arial" w:cs="Arial"/>
          <w:b/>
          <w:sz w:val="20"/>
        </w:rPr>
      </w:pPr>
      <w:r>
        <w:rPr>
          <w:rFonts w:cs="Arial" w:ascii="Arial" w:hAnsi="Arial"/>
          <w:b/>
          <w:sz w:val="20"/>
        </w:rPr>
      </w:r>
    </w:p>
    <w:p>
      <w:pPr>
        <w:pStyle w:val="Normal"/>
        <w:tabs>
          <w:tab w:val="clear" w:pos="540"/>
          <w:tab w:val="left" w:pos="0" w:leader="none"/>
          <w:tab w:val="left" w:pos="3780" w:leader="none"/>
          <w:tab w:val="left" w:pos="4320" w:leader="none"/>
        </w:tabs>
        <w:jc w:val="both"/>
        <w:rPr>
          <w:sz w:val="20"/>
        </w:rPr>
      </w:pPr>
      <w:r>
        <w:rPr>
          <w:sz w:val="20"/>
        </w:rPr>
        <w:t>Business Unit Head Trader</w:t>
        <w:tab/>
        <w:t>_______________________________               _____________</w:t>
      </w:r>
    </w:p>
    <w:p>
      <w:pPr>
        <w:pStyle w:val="Normal"/>
        <w:tabs>
          <w:tab w:val="clear" w:pos="540"/>
          <w:tab w:val="left" w:pos="0" w:leader="none"/>
          <w:tab w:val="left" w:pos="3780" w:leader="none"/>
          <w:tab w:val="left" w:pos="4320" w:leader="none"/>
        </w:tabs>
        <w:jc w:val="both"/>
        <w:rPr>
          <w:sz w:val="20"/>
          <w:u w:val="single"/>
        </w:rPr>
      </w:pPr>
      <w:r>
        <w:rPr>
          <w:sz w:val="20"/>
          <w:u w:val="single"/>
        </w:rPr>
      </w:r>
    </w:p>
    <w:p>
      <w:pPr>
        <w:pStyle w:val="Normal"/>
        <w:tabs>
          <w:tab w:val="clear" w:pos="540"/>
          <w:tab w:val="left" w:pos="0" w:leader="none"/>
          <w:tab w:val="left" w:pos="3780" w:leader="none"/>
          <w:tab w:val="left" w:pos="4320" w:leader="none"/>
        </w:tabs>
        <w:jc w:val="both"/>
        <w:rPr>
          <w:sz w:val="20"/>
        </w:rPr>
      </w:pPr>
      <w:r>
        <w:rPr>
          <w:sz w:val="20"/>
        </w:rPr>
        <w:t xml:space="preserve">George McClellan-Global Head Trader </w:t>
        <w:tab/>
        <w:t>_______________________________               _____________</w:t>
      </w:r>
    </w:p>
    <w:p>
      <w:pPr>
        <w:pStyle w:val="Normal"/>
        <w:tabs>
          <w:tab w:val="clear" w:pos="540"/>
          <w:tab w:val="left" w:pos="0" w:leader="none"/>
          <w:tab w:val="left" w:pos="3780" w:leader="none"/>
          <w:tab w:val="left" w:pos="4320" w:leader="none"/>
        </w:tabs>
        <w:jc w:val="both"/>
        <w:rPr>
          <w:rFonts w:eastAsia="Arial"/>
          <w:sz w:val="20"/>
        </w:rPr>
      </w:pPr>
      <w:r>
        <w:rPr>
          <w:rFonts w:eastAsia="Arial"/>
          <w:sz w:val="20"/>
        </w:rPr>
        <w:t xml:space="preserve">    </w:t>
      </w:r>
    </w:p>
    <w:p>
      <w:pPr>
        <w:pStyle w:val="Normal"/>
        <w:tabs>
          <w:tab w:val="clear" w:pos="540"/>
          <w:tab w:val="left" w:pos="0" w:leader="none"/>
          <w:tab w:val="left" w:pos="3780" w:leader="none"/>
          <w:tab w:val="left" w:pos="4320" w:leader="none"/>
        </w:tabs>
        <w:jc w:val="both"/>
        <w:rPr>
          <w:sz w:val="20"/>
        </w:rPr>
      </w:pPr>
      <w:r>
        <w:rPr>
          <w:sz w:val="20"/>
        </w:rPr>
        <w:t>COO or CEO – Business Unit</w:t>
        <w:tab/>
        <w:t>_______________________________               _____________</w:t>
      </w:r>
    </w:p>
    <w:p>
      <w:pPr>
        <w:pStyle w:val="Normal"/>
        <w:tabs>
          <w:tab w:val="clear" w:pos="540"/>
          <w:tab w:val="left" w:pos="0" w:leader="none"/>
          <w:tab w:val="left" w:pos="3780" w:leader="none"/>
          <w:tab w:val="left" w:pos="4320" w:leader="none"/>
        </w:tabs>
        <w:jc w:val="both"/>
        <w:rPr>
          <w:sz w:val="20"/>
          <w:u w:val="single"/>
        </w:rPr>
      </w:pPr>
      <w:r>
        <w:rPr>
          <w:sz w:val="20"/>
        </w:rPr>
        <w:tab/>
        <w:tab/>
        <w:tab/>
        <w:tab/>
        <w:tab/>
      </w:r>
    </w:p>
    <w:p>
      <w:pPr>
        <w:pStyle w:val="Normal"/>
        <w:tabs>
          <w:tab w:val="left" w:pos="540" w:leader="none"/>
          <w:tab w:val="left" w:pos="3780" w:leader="none"/>
          <w:tab w:val="left" w:pos="4320" w:leader="none"/>
        </w:tabs>
        <w:ind w:hanging="2160" w:start="2160" w:end="0"/>
        <w:jc w:val="both"/>
        <w:rPr>
          <w:sz w:val="20"/>
        </w:rPr>
      </w:pPr>
      <w:r>
        <w:rPr>
          <w:sz w:val="20"/>
        </w:rPr>
        <w:t>Market Risk Management</w:t>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Research</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Legal</w:t>
        <w:tab/>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s>
        <w:ind w:hanging="2160" w:start="2160" w:end="0"/>
        <w:jc w:val="both"/>
        <w:rPr>
          <w:sz w:val="20"/>
        </w:rPr>
      </w:pPr>
      <w:r>
        <w:rPr>
          <w:sz w:val="20"/>
        </w:rPr>
        <w:t>Credit</w:t>
        <w:tab/>
        <w:tab/>
        <w:tab/>
        <w:t>_______________________________               _____________</w:t>
      </w:r>
    </w:p>
    <w:p>
      <w:pPr>
        <w:pStyle w:val="Normal"/>
        <w:tabs>
          <w:tab w:val="left" w:pos="540" w:leader="none"/>
          <w:tab w:val="left" w:pos="378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Tax</w:t>
        <w:tab/>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Accounting</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Enron Net Works</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Regulatory</w:t>
        <w:tab/>
        <w:tab/>
        <w:t>_______________________________               _____________</w:t>
      </w:r>
    </w:p>
    <w:p>
      <w:pPr>
        <w:pStyle w:val="Normal"/>
        <w:tabs>
          <w:tab w:val="left" w:pos="540" w:leader="none"/>
          <w:tab w:val="left" w:pos="324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Rick Buy, CRO</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pPr>
      <w:r>
        <w:rPr>
          <w:sz w:val="20"/>
        </w:rPr>
        <w:t>Jeff Skilling, President/COO</w:t>
        <w:tab/>
        <w:t xml:space="preserve">_______________________________        </w:t>
      </w:r>
      <w:r>
        <w:rPr>
          <w:rFonts w:cs="Times New Roman" w:ascii="Times New Roman" w:hAnsi="Times New Roman"/>
          <w:sz w:val="22"/>
        </w:rPr>
        <w:t xml:space="preserve">       _____________</w:t>
      </w:r>
    </w:p>
    <w:sectPr>
      <w:headerReference w:type="default" r:id="rId2"/>
      <w:headerReference w:type="first" r:id="rId3"/>
      <w:footerReference w:type="default" r:id="rId4"/>
      <w:footerReference w:type="first" r:id="rId5"/>
      <w:type w:val="nextPage"/>
      <w:pgSz w:w="12240" w:h="15840"/>
      <w:pgMar w:left="720" w:right="720" w:gutter="0" w:header="720" w:top="776" w:footer="36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object w:dxaOrig="1397" w:dyaOrig="138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1.6pt;margin-top:-735.65pt;width:69.85pt;height:69.1pt;mso-wrap-distance-left:9.05pt;mso-wrap-distance-right:9.05pt;mso-position-horizontal-relative:text;mso-position-vertical-relative:text" filled="f" o:ole="">
          <v:imagedata r:id="rId2" o:title=""/>
        </v:shape>
        <o:OLEObject Type="Embed" ProgID="" ShapeID="ole_rId1" DrawAspect="Content" ObjectID="_1345822013" r:id="rId1"/>
      </w:object>
    </w: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ab/>
      <w:t xml:space="preserve"> 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p>
    <w:pPr>
      <w:pStyle w:val="BodyTextIndent3"/>
      <w:jc w:val="end"/>
      <w:rPr/>
    </w:pPr>
    <w:r>
      <w:rPr/>
      <w:t>Proprietary and Confidential</w:t>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2615565</wp:posOffset>
              </wp:positionH>
              <wp:positionV relativeFrom="paragraph">
                <wp:posOffset>-189865</wp:posOffset>
              </wp:positionV>
              <wp:extent cx="3877310" cy="93726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14.95pt;mso-position-vertical-relative:text;margin-left:205.95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i/>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left" w:pos="540" w:leader="none"/>
        <w:tab w:val="left" w:pos="2520" w:leader="none"/>
      </w:tabs>
      <w:ind w:hanging="2160" w:start="2160" w:end="0"/>
      <w:jc w:val="both"/>
      <w:outlineLvl w:val="4"/>
    </w:pPr>
    <w:rPr>
      <w:rFonts w:ascii="Times New Roman" w:hAnsi="Times New Roman" w:cs="Times New Roman"/>
      <w:b/>
      <w:sz w:val="22"/>
    </w:rPr>
  </w:style>
  <w:style w:type="paragraph" w:styleId="Heading6">
    <w:name w:val="heading 6"/>
    <w:basedOn w:val="Normal"/>
    <w:next w:val="Normal"/>
    <w:qFormat/>
    <w:pPr>
      <w:keepNext w:val="true"/>
      <w:numPr>
        <w:ilvl w:val="5"/>
        <w:numId w:val="1"/>
      </w:numPr>
      <w:tabs>
        <w:tab w:val="left" w:pos="540" w:leader="none"/>
        <w:tab w:val="left" w:pos="4320" w:leader="none"/>
      </w:tabs>
      <w:ind w:hanging="2160" w:start="2160" w:end="0"/>
      <w:jc w:val="center"/>
      <w:outlineLvl w:val="5"/>
    </w:pPr>
    <w:rPr>
      <w:rFonts w:ascii="Times New Roman" w:hAnsi="Times New Roman" w:cs="Times New Roman"/>
      <w:b/>
      <w:sz w:val="22"/>
      <w:u w:val="single"/>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b/>
      <w:sz w:val="22"/>
      <w:u w:val="single"/>
    </w:rPr>
  </w:style>
  <w:style w:type="paragraph" w:styleId="Heading8">
    <w:name w:val="heading 8"/>
    <w:basedOn w:val="Normal"/>
    <w:next w:val="Normal"/>
    <w:qFormat/>
    <w:pPr>
      <w:keepNext w:val="true"/>
      <w:numPr>
        <w:ilvl w:val="7"/>
        <w:numId w:val="1"/>
      </w:numPr>
      <w:tabs>
        <w:tab w:val="left" w:pos="540" w:leader="none"/>
        <w:tab w:val="left" w:pos="3240" w:leader="none"/>
        <w:tab w:val="left" w:pos="4320" w:leader="none"/>
      </w:tabs>
      <w:jc w:val="both"/>
      <w:outlineLvl w:val="7"/>
    </w:pPr>
    <w:rPr>
      <w:b/>
      <w:bCs/>
      <w:sz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 w:val="left" w:pos="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sz w:val="20"/>
    </w:rPr>
  </w:style>
  <w:style w:type="paragraph" w:styleId="BodyTextIndent2">
    <w:name w:val="Body Text Indent 2"/>
    <w:basedOn w:val="Normal"/>
    <w:qFormat/>
    <w:pPr>
      <w:ind w:hanging="0" w:start="720" w:end="0"/>
    </w:pPr>
    <w:rPr>
      <w:sz w:val="20"/>
    </w:rPr>
  </w:style>
  <w:style w:type="paragraph" w:styleId="BodyTextIndent3">
    <w:name w:val="Body Text Indent 3"/>
    <w:basedOn w:val="Normal"/>
    <w:qFormat/>
    <w:pPr>
      <w:ind w:hanging="0" w:start="3600" w:end="0"/>
      <w:jc w:val="center"/>
    </w:pPr>
    <w:rPr>
      <w:b/>
      <w:color w:val="FF0000"/>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2001-01-18T23:32:00Z</dcterms:created>
  <dc:creator>Jeff Ford</dc:creator>
  <dc:description/>
  <dc:language>en-CA</dc:language>
  <cp:lastModifiedBy>fprejea</cp:lastModifiedBy>
  <cp:lastPrinted>2001-01-22T09:51:00Z</cp:lastPrinted>
  <dcterms:modified xsi:type="dcterms:W3CDTF">2001-01-22T13:35:00Z</dcterms:modified>
  <cp:revision>3</cp:revision>
  <dc:subject/>
  <dc:title>Eron Capital &amp; Trade Resources Memo</dc:title>
</cp:coreProperties>
</file>