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4"/>
        <w:ind w:hanging="0" w:start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er"/>
        <w:tabs>
          <w:tab w:val="clear" w:pos="4320"/>
          <w:tab w:val="clear" w:pos="8640"/>
          <w:tab w:val="left" w:pos="142" w:leader="none"/>
          <w:tab w:val="left" w:pos="993" w:leader="none"/>
        </w:tabs>
        <w:jc w:val="both"/>
        <w:rPr>
          <w:rFonts w:ascii="Arial" w:hAnsi="Arial" w:cs="Arial"/>
          <w:sz w:val="20"/>
        </w:rPr>
      </w:pPr>
      <w:r>
        <w:rPr>
          <w:rFonts w:cs="Arial"/>
          <w:sz w:val="20"/>
        </w:rPr>
      </w:r>
    </w:p>
    <w:p>
      <w:pPr>
        <w:pStyle w:val="Header"/>
        <w:tabs>
          <w:tab w:val="clear" w:pos="4320"/>
          <w:tab w:val="clear" w:pos="8640"/>
          <w:tab w:val="left" w:pos="142" w:leader="none"/>
          <w:tab w:val="left" w:pos="993" w:leader="none"/>
        </w:tabs>
        <w:spacing w:before="60" w:after="60"/>
        <w:jc w:val="both"/>
        <w:rPr/>
      </w:pPr>
      <w:r>
        <w:rPr>
          <w:b/>
          <w:sz w:val="20"/>
        </w:rPr>
        <w:t>To:</w:t>
      </w:r>
      <w:r>
        <w:rPr>
          <w:sz w:val="20"/>
        </w:rPr>
        <w:tab/>
        <w:t>Jeff Skilling</w:t>
        <w:tab/>
        <w:t xml:space="preserve"> </w:t>
        <w:tab/>
      </w:r>
    </w:p>
    <w:p>
      <w:pPr>
        <w:pStyle w:val="Header"/>
        <w:tabs>
          <w:tab w:val="clear" w:pos="4320"/>
          <w:tab w:val="clear" w:pos="8640"/>
          <w:tab w:val="left" w:pos="142" w:leader="none"/>
          <w:tab w:val="left" w:pos="993" w:leader="none"/>
        </w:tabs>
        <w:spacing w:before="60" w:after="60"/>
        <w:jc w:val="both"/>
        <w:rPr>
          <w:sz w:val="20"/>
        </w:rPr>
      </w:pPr>
      <w:r>
        <w:rPr>
          <w:sz w:val="20"/>
        </w:rPr>
        <w:tab/>
        <w:tab/>
        <w:t>Rick Buy</w:t>
        <w:tab/>
        <w:tab/>
      </w:r>
    </w:p>
    <w:p>
      <w:pPr>
        <w:pStyle w:val="Normal"/>
        <w:tabs>
          <w:tab w:val="left" w:pos="142" w:leader="none"/>
          <w:tab w:val="left" w:pos="540" w:leader="none"/>
          <w:tab w:val="left" w:pos="993" w:leader="none"/>
        </w:tabs>
        <w:spacing w:before="60" w:after="60"/>
        <w:jc w:val="both"/>
        <w:rPr/>
      </w:pPr>
      <w:r>
        <w:rPr>
          <w:b/>
          <w:sz w:val="20"/>
        </w:rPr>
        <w:t>From:</w:t>
      </w:r>
      <w:r>
        <w:rPr>
          <w:sz w:val="20"/>
        </w:rPr>
        <w:tab/>
        <w:t>(Commercial)</w:t>
        <w:tab/>
        <w:t>___________________</w:t>
      </w:r>
    </w:p>
    <w:p>
      <w:pPr>
        <w:pStyle w:val="Normal"/>
        <w:tabs>
          <w:tab w:val="left" w:pos="142" w:leader="none"/>
          <w:tab w:val="left" w:pos="540" w:leader="none"/>
          <w:tab w:val="left" w:pos="993" w:leader="none"/>
        </w:tabs>
        <w:spacing w:before="60" w:after="60"/>
        <w:jc w:val="both"/>
        <w:rPr>
          <w:sz w:val="20"/>
        </w:rPr>
      </w:pPr>
      <w:r>
        <w:rPr>
          <w:sz w:val="20"/>
        </w:rPr>
        <w:tab/>
        <w:tab/>
        <w:tab/>
        <w:tab/>
        <w:tab/>
        <w:tab/>
        <w:t>(signature)</w:t>
      </w:r>
    </w:p>
    <w:p>
      <w:pPr>
        <w:pStyle w:val="Normal"/>
        <w:tabs>
          <w:tab w:val="left" w:pos="142" w:leader="none"/>
          <w:tab w:val="left" w:pos="540" w:leader="none"/>
          <w:tab w:val="left" w:pos="993" w:leader="none"/>
        </w:tabs>
        <w:spacing w:before="60" w:after="60"/>
        <w:jc w:val="both"/>
        <w:rPr>
          <w:b/>
          <w:sz w:val="20"/>
        </w:rPr>
      </w:pPr>
      <w:r>
        <w:rPr>
          <w:b/>
          <w:sz w:val="20"/>
        </w:rPr>
        <w:t>Date:</w:t>
      </w:r>
      <w:r>
        <w:rPr>
          <w:sz w:val="20"/>
        </w:rPr>
        <w:tab/>
        <w:tab/>
        <w:tab/>
      </w:r>
    </w:p>
    <w:p>
      <w:pPr>
        <w:pStyle w:val="Normal"/>
        <w:tabs>
          <w:tab w:val="left" w:pos="142" w:leader="none"/>
          <w:tab w:val="left" w:pos="540" w:leader="none"/>
          <w:tab w:val="left" w:pos="993" w:leader="none"/>
        </w:tabs>
        <w:spacing w:before="60" w:after="60"/>
        <w:jc w:val="both"/>
        <w:rPr/>
      </w:pPr>
      <w:r>
        <w:rPr>
          <w:b/>
          <w:sz w:val="20"/>
        </w:rPr>
        <w:t>Subject:</w:t>
      </w:r>
      <w:r>
        <w:rPr>
          <w:sz w:val="20"/>
        </w:rPr>
        <w:tab/>
        <w:t xml:space="preserve">Request for  (Name of Commodity Group) Trading Policy Limits </w:t>
      </w:r>
    </w:p>
    <w:p>
      <w:pPr>
        <w:pStyle w:val="Normal"/>
        <w:tabs>
          <w:tab w:val="left" w:pos="142" w:leader="none"/>
          <w:tab w:val="left" w:pos="540" w:leader="none"/>
          <w:tab w:val="left" w:pos="993" w:leader="none"/>
        </w:tabs>
        <w:spacing w:before="60" w:after="60"/>
        <w:jc w:val="both"/>
        <w:rPr>
          <w:rFonts w:ascii="Times New Roman" w:hAnsi="Times New Roman" w:cs="Times New Roman"/>
          <w:sz w:val="22"/>
        </w:rPr>
      </w:pPr>
      <w:r>
        <w:rPr>
          <w:sz w:val="20"/>
        </w:rPr>
        <w:tab/>
        <w:tab/>
        <w:tab/>
        <w:t>(New Commodity, Change in Limits, etc.)</w:t>
      </w:r>
    </w:p>
    <w:p>
      <w:pPr>
        <w:pStyle w:val="Heading1"/>
        <w:pBdr>
          <w:top w:val="single" w:sz="18" w:space="1" w:color="000000"/>
        </w:pBdr>
        <w:ind w:hanging="0" w:start="0"/>
        <w:jc w:val="both"/>
        <w:rPr>
          <w:rFonts w:ascii="Times New Roman" w:hAnsi="Times New Roman" w:cs="Times New Roman"/>
          <w:b w:val="false"/>
          <w:sz w:val="22"/>
        </w:rPr>
      </w:pPr>
      <w:r>
        <w:rPr>
          <w:rFonts w:cs="Times New Roman"/>
          <w:b w:val="false"/>
          <w:sz w:val="22"/>
        </w:rPr>
      </w:r>
    </w:p>
    <w:p>
      <w:pPr>
        <w:pStyle w:val="Normal"/>
        <w:ind w:hanging="2160" w:start="2160" w:end="0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  <w:t>Type of Trading Limit Request</w:t>
      </w:r>
    </w:p>
    <w:p>
      <w:pPr>
        <w:pStyle w:val="Normal"/>
        <w:jc w:val="both"/>
        <w:rPr>
          <w:sz w:val="20"/>
        </w:rPr>
      </w:pPr>
      <w:r>
        <w:rPr>
          <w:sz w:val="20"/>
        </w:rPr>
        <w:t>(tailor the form to individual transaction)</w:t>
      </w:r>
    </w:p>
    <w:p>
      <w:pPr>
        <w:pStyle w:val="Normal"/>
        <w:numPr>
          <w:ilvl w:val="0"/>
          <w:numId w:val="2"/>
        </w:numPr>
        <w:jc w:val="both"/>
        <w:rPr>
          <w:sz w:val="20"/>
          <w:u w:val="single"/>
        </w:rPr>
      </w:pPr>
      <w:r>
        <w:rPr>
          <w:sz w:val="20"/>
        </w:rPr>
        <w:t>Interim Policy Limits for New Commodity</w:t>
        <w:tab/>
        <w:tab/>
      </w:r>
      <w:r>
        <w:rPr>
          <w:sz w:val="20"/>
          <w:u w:val="single"/>
        </w:rPr>
        <w:tab/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Interim Policy Limit Extension </w:t>
        <w:tab/>
        <w:tab/>
        <w:tab/>
      </w:r>
      <w:r>
        <w:rPr>
          <w:sz w:val="20"/>
          <w:u w:val="single"/>
        </w:rPr>
        <w:tab/>
      </w:r>
    </w:p>
    <w:p>
      <w:pPr>
        <w:pStyle w:val="Normal"/>
        <w:numPr>
          <w:ilvl w:val="0"/>
          <w:numId w:val="2"/>
        </w:numPr>
        <w:jc w:val="both"/>
        <w:rPr>
          <w:sz w:val="20"/>
          <w:u w:val="single"/>
        </w:rPr>
      </w:pPr>
      <w:r>
        <w:rPr>
          <w:sz w:val="20"/>
        </w:rPr>
        <w:t>Permanent Policy Limits</w:t>
        <w:tab/>
        <w:tab/>
        <w:tab/>
        <w:tab/>
      </w:r>
      <w:r>
        <w:rPr>
          <w:sz w:val="20"/>
          <w:u w:val="single"/>
        </w:rPr>
        <w:tab/>
      </w:r>
    </w:p>
    <w:p>
      <w:pPr>
        <w:pStyle w:val="Normal"/>
        <w:numPr>
          <w:ilvl w:val="0"/>
          <w:numId w:val="2"/>
        </w:numPr>
        <w:jc w:val="both"/>
        <w:rPr>
          <w:sz w:val="20"/>
          <w:u w:val="single"/>
        </w:rPr>
      </w:pPr>
      <w:r>
        <w:rPr>
          <w:sz w:val="20"/>
        </w:rPr>
        <w:t>Change in Permanent Policy Limits</w:t>
        <w:tab/>
        <w:tab/>
        <w:tab/>
      </w:r>
      <w:r>
        <w:rPr>
          <w:sz w:val="20"/>
          <w:u w:val="single"/>
        </w:rPr>
        <w:tab/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Discretionary VaR Allocation</w:t>
        <w:tab/>
        <w:tab/>
        <w:tab/>
      </w:r>
      <w:r>
        <w:rPr>
          <w:sz w:val="20"/>
          <w:u w:val="single"/>
        </w:rPr>
        <w:tab/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Temporary Policy Limits</w:t>
        <w:tab/>
        <w:tab/>
        <w:tab/>
        <w:tab/>
        <w:t>______</w:t>
        <w:tab/>
      </w:r>
    </w:p>
    <w:p>
      <w:pPr>
        <w:pStyle w:val="Normal"/>
        <w:ind w:hanging="2160" w:start="2160" w:end="0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ind w:hanging="2160" w:start="2160" w:end="0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Authorized Products:</w:t>
      </w:r>
    </w:p>
    <w:p>
      <w:pPr>
        <w:pStyle w:val="Normal"/>
        <w:ind w:hanging="2160" w:start="2160" w:end="0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List Products (financial, physical, terms of standard contract, etc.)</w:t>
      </w:r>
    </w:p>
    <w:p>
      <w:pPr>
        <w:pStyle w:val="Normal"/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Description of products and positions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Heading7"/>
        <w:ind w:hanging="0" w:start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Markets approved for trading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Countries approved for trading, etc.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ind w:hanging="2160" w:start="2160" w:end="0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Market Background:</w:t>
      </w:r>
    </w:p>
    <w:p>
      <w:pPr>
        <w:pStyle w:val="Normal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numPr>
          <w:ilvl w:val="0"/>
          <w:numId w:val="7"/>
        </w:numPr>
        <w:jc w:val="both"/>
        <w:rPr>
          <w:sz w:val="20"/>
        </w:rPr>
      </w:pPr>
      <w:r>
        <w:rPr>
          <w:sz w:val="20"/>
        </w:rPr>
        <w:t xml:space="preserve">Size of Market </w:t>
      </w:r>
    </w:p>
    <w:p>
      <w:pPr>
        <w:pStyle w:val="Normal"/>
        <w:numPr>
          <w:ilvl w:val="0"/>
          <w:numId w:val="7"/>
        </w:numPr>
        <w:jc w:val="both"/>
        <w:rPr>
          <w:sz w:val="20"/>
        </w:rPr>
      </w:pPr>
      <w:r>
        <w:rPr>
          <w:sz w:val="20"/>
        </w:rPr>
        <w:t>Growth Rate</w:t>
      </w:r>
    </w:p>
    <w:p>
      <w:pPr>
        <w:pStyle w:val="Normal"/>
        <w:numPr>
          <w:ilvl w:val="0"/>
          <w:numId w:val="7"/>
        </w:numPr>
        <w:jc w:val="both"/>
        <w:rPr>
          <w:sz w:val="20"/>
        </w:rPr>
      </w:pPr>
      <w:r>
        <w:rPr>
          <w:sz w:val="20"/>
        </w:rPr>
        <w:t>Number of Market Participants – Buyers and Sellers</w:t>
      </w:r>
    </w:p>
    <w:p>
      <w:pPr>
        <w:pStyle w:val="Normal"/>
        <w:numPr>
          <w:ilvl w:val="0"/>
          <w:numId w:val="7"/>
        </w:numPr>
        <w:jc w:val="both"/>
        <w:rPr>
          <w:sz w:val="20"/>
        </w:rPr>
      </w:pPr>
      <w:r>
        <w:rPr>
          <w:sz w:val="20"/>
        </w:rPr>
        <w:t>Concentration of Market Share</w:t>
      </w:r>
    </w:p>
    <w:p>
      <w:pPr>
        <w:pStyle w:val="Normal"/>
        <w:numPr>
          <w:ilvl w:val="0"/>
          <w:numId w:val="7"/>
        </w:numPr>
        <w:jc w:val="both"/>
        <w:rPr>
          <w:sz w:val="20"/>
        </w:rPr>
      </w:pPr>
      <w:r>
        <w:rPr>
          <w:sz w:val="20"/>
        </w:rPr>
        <w:t>Market outlook for next year</w:t>
      </w:r>
    </w:p>
    <w:p>
      <w:pPr>
        <w:pStyle w:val="Normal"/>
        <w:tabs>
          <w:tab w:val="clear" w:pos="540"/>
          <w:tab w:val="left" w:pos="0" w:leader="none"/>
          <w:tab w:val="left" w:pos="4320" w:leader="none"/>
        </w:tabs>
        <w:ind w:hanging="3240" w:start="3240" w:end="0"/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tabs>
          <w:tab w:val="left" w:pos="5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b/>
          <w:sz w:val="20"/>
          <w:u w:val="single"/>
        </w:rPr>
        <w:t>Strategy:</w:t>
      </w:r>
    </w:p>
    <w:p>
      <w:pPr>
        <w:pStyle w:val="Normal"/>
        <w:tabs>
          <w:tab w:val="left" w:pos="5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8"/>
        </w:numPr>
        <w:tabs>
          <w:tab w:val="left" w:pos="540" w:leader="none"/>
          <w:tab w:val="left" w:pos="4320" w:leader="none"/>
        </w:tabs>
        <w:jc w:val="both"/>
        <w:rPr>
          <w:sz w:val="20"/>
        </w:rPr>
      </w:pPr>
      <w:r>
        <w:rPr>
          <w:sz w:val="20"/>
        </w:rPr>
        <w:t>Description of strategy</w:t>
      </w:r>
    </w:p>
    <w:p>
      <w:pPr>
        <w:pStyle w:val="Normal"/>
        <w:numPr>
          <w:ilvl w:val="0"/>
          <w:numId w:val="8"/>
        </w:numPr>
        <w:tabs>
          <w:tab w:val="left" w:pos="540" w:leader="none"/>
          <w:tab w:val="left" w:pos="4320" w:leader="none"/>
        </w:tabs>
        <w:jc w:val="both"/>
        <w:rPr>
          <w:sz w:val="20"/>
        </w:rPr>
      </w:pPr>
      <w:r>
        <w:rPr>
          <w:sz w:val="20"/>
        </w:rPr>
        <w:t>Competitive Advantage</w:t>
      </w:r>
    </w:p>
    <w:p>
      <w:pPr>
        <w:pStyle w:val="Normal"/>
        <w:tabs>
          <w:tab w:val="left" w:pos="540" w:leader="none"/>
          <w:tab w:val="left" w:pos="3240" w:leader="none"/>
          <w:tab w:val="left" w:pos="4320" w:leader="none"/>
        </w:tabs>
        <w:jc w:val="both"/>
        <w:rPr>
          <w:sz w:val="20"/>
        </w:rPr>
      </w:pPr>
      <w:r>
        <w:rPr>
          <w:sz w:val="20"/>
        </w:rPr>
      </w:r>
    </w:p>
    <w:p>
      <w:pPr>
        <w:pStyle w:val="Heading6"/>
        <w:jc w:val="star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Book Architecture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numPr>
          <w:ilvl w:val="0"/>
          <w:numId w:val="7"/>
        </w:numPr>
        <w:jc w:val="both"/>
        <w:rPr>
          <w:sz w:val="20"/>
        </w:rPr>
      </w:pPr>
      <w:r>
        <w:rPr>
          <w:sz w:val="20"/>
        </w:rPr>
        <w:t>Description of books (physical/financial, underlying and options, monthly term, settlement terms, etc.)</w:t>
      </w:r>
    </w:p>
    <w:p>
      <w:pPr>
        <w:pStyle w:val="Normal"/>
        <w:tabs>
          <w:tab w:val="left" w:pos="540" w:leader="none"/>
          <w:tab w:val="left" w:pos="2520" w:leader="none"/>
        </w:tabs>
        <w:rPr/>
      </w:pPr>
      <w:r>
        <w:rPr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ab/>
        <w:tab/>
      </w:r>
    </w:p>
    <w:p>
      <w:pPr>
        <w:pStyle w:val="Heading6"/>
        <w:jc w:val="star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Authorized Traders</w:t>
      </w:r>
    </w:p>
    <w:p>
      <w:pPr>
        <w:pStyle w:val="Normal"/>
        <w:numPr>
          <w:ilvl w:val="0"/>
          <w:numId w:val="7"/>
        </w:numPr>
        <w:jc w:val="both"/>
        <w:rPr>
          <w:sz w:val="20"/>
        </w:rPr>
      </w:pPr>
      <w:r>
        <w:rPr>
          <w:sz w:val="20"/>
        </w:rPr>
        <w:t>Complete List of Authorized Traders, with Head Trader for commodity groups responsible for compliance with the risk management policy</w:t>
      </w:r>
      <w:r>
        <w:br w:type="page"/>
      </w:r>
    </w:p>
    <w:p>
      <w:pPr>
        <w:pStyle w:val="Normal"/>
        <w:tabs>
          <w:tab w:val="left" w:pos="540" w:leader="none"/>
          <w:tab w:val="left" w:pos="2520" w:leader="none"/>
        </w:tabs>
        <w:rPr>
          <w:sz w:val="20"/>
        </w:rPr>
      </w:pPr>
      <w:r>
        <w:rPr>
          <w:sz w:val="20"/>
        </w:rPr>
        <w:t>.</w:t>
      </w:r>
    </w:p>
    <w:p>
      <w:pPr>
        <w:pStyle w:val="Heading6"/>
        <w:jc w:val="star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Quantitative Risk Parameters: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Explain or illustrate calculations for limits to provide reference for communication of risk metrics to Risk Management Operations</w:t>
      </w:r>
    </w:p>
    <w:p>
      <w:pPr>
        <w:pStyle w:val="Normal"/>
        <w:numPr>
          <w:ilvl w:val="0"/>
          <w:numId w:val="7"/>
        </w:numPr>
        <w:jc w:val="both"/>
        <w:rPr>
          <w:sz w:val="20"/>
        </w:rPr>
      </w:pPr>
      <w:r>
        <w:rPr>
          <w:sz w:val="20"/>
        </w:rPr>
        <w:t>Proposed Benchmark measurement and methodology</w:t>
      </w:r>
    </w:p>
    <w:p>
      <w:pPr>
        <w:pStyle w:val="Normal"/>
        <w:numPr>
          <w:ilvl w:val="0"/>
          <w:numId w:val="7"/>
        </w:numPr>
        <w:jc w:val="both"/>
        <w:rPr>
          <w:sz w:val="20"/>
        </w:rPr>
      </w:pPr>
      <w:r>
        <w:rPr>
          <w:sz w:val="20"/>
        </w:rPr>
        <w:t>Proposed Net Open Position Limit measurement and methodology</w:t>
      </w:r>
    </w:p>
    <w:p>
      <w:pPr>
        <w:pStyle w:val="Normal"/>
        <w:numPr>
          <w:ilvl w:val="0"/>
          <w:numId w:val="7"/>
        </w:numPr>
        <w:jc w:val="both"/>
        <w:rPr>
          <w:sz w:val="20"/>
        </w:rPr>
      </w:pPr>
      <w:r>
        <w:rPr>
          <w:sz w:val="20"/>
        </w:rPr>
        <w:t>Proposed Maturity/Gap Limit measurement and methodology</w:t>
      </w:r>
    </w:p>
    <w:p>
      <w:pPr>
        <w:pStyle w:val="Normal"/>
        <w:numPr>
          <w:ilvl w:val="0"/>
          <w:numId w:val="7"/>
        </w:numPr>
        <w:jc w:val="both"/>
        <w:rPr>
          <w:sz w:val="20"/>
        </w:rPr>
      </w:pPr>
      <w:r>
        <w:rPr>
          <w:sz w:val="20"/>
        </w:rPr>
        <w:t>Proposed VaR calculation, source of specific inputs for calculation, etc.</w:t>
      </w:r>
    </w:p>
    <w:p>
      <w:pPr>
        <w:pStyle w:val="Normal"/>
        <w:numPr>
          <w:ilvl w:val="0"/>
          <w:numId w:val="7"/>
        </w:numPr>
        <w:jc w:val="both"/>
        <w:rPr>
          <w:sz w:val="20"/>
        </w:rPr>
      </w:pPr>
      <w:r>
        <w:rPr>
          <w:sz w:val="20"/>
        </w:rPr>
        <w:t xml:space="preserve">Effect on Portfolio Limits 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BodyText"/>
        <w:rPr>
          <w:rFonts w:ascii="Arial" w:hAnsi="Arial" w:cs="Arial"/>
          <w:b/>
          <w:sz w:val="20"/>
          <w:u w:val="single"/>
        </w:rPr>
      </w:pPr>
      <w:r>
        <w:rPr>
          <w:rFonts w:cs="Arial" w:ascii="Arial" w:hAnsi="Arial"/>
          <w:b/>
          <w:sz w:val="20"/>
          <w:u w:val="single"/>
        </w:rPr>
        <w:t>Historical Results and/or Planned Results</w:t>
      </w:r>
    </w:p>
    <w:p>
      <w:pPr>
        <w:pStyle w:val="BodyText"/>
        <w:rPr>
          <w:rFonts w:ascii="Arial" w:hAnsi="Arial" w:cs="Arial"/>
          <w:b/>
          <w:sz w:val="20"/>
          <w:u w:val="single"/>
        </w:rPr>
      </w:pPr>
      <w:r>
        <w:rPr>
          <w:rFonts w:cs="Arial" w:ascii="Arial" w:hAnsi="Arial"/>
          <w:b/>
          <w:sz w:val="20"/>
          <w:u w:val="single"/>
        </w:rPr>
      </w:r>
    </w:p>
    <w:p>
      <w:pPr>
        <w:pStyle w:val="BodyText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P/L to date</w:t>
      </w:r>
    </w:p>
    <w:p>
      <w:pPr>
        <w:pStyle w:val="BodyText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Budget, budget vs. actual</w:t>
      </w:r>
    </w:p>
    <w:p>
      <w:pPr>
        <w:pStyle w:val="BodyText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Backtesting, VaR Utilization</w:t>
      </w:r>
    </w:p>
    <w:p>
      <w:pPr>
        <w:pStyle w:val="BodyText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ROVAR</w:t>
      </w:r>
    </w:p>
    <w:p>
      <w:pPr>
        <w:pStyle w:val="BodyText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Price and volatility graphs</w:t>
      </w:r>
    </w:p>
    <w:p>
      <w:pPr>
        <w:pStyle w:val="BodyText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Summary of number of limit violations/notifications (NOP, FOP, M/G, VaR, etc.)</w:t>
      </w:r>
    </w:p>
    <w:p>
      <w:pPr>
        <w:pStyle w:val="BodyText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Summary of activity – trades per day/week/month, etc.</w:t>
      </w:r>
    </w:p>
    <w:p>
      <w:pPr>
        <w:pStyle w:val="Body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left" w:pos="540" w:leader="none"/>
          <w:tab w:val="left" w:pos="2520" w:leader="none"/>
        </w:tabs>
        <w:ind w:hanging="2160" w:start="2160" w:end="0"/>
        <w:jc w:val="both"/>
        <w:rPr>
          <w:sz w:val="20"/>
        </w:rPr>
      </w:pPr>
      <w:r>
        <w:rPr>
          <w:b/>
          <w:sz w:val="20"/>
          <w:u w:val="single"/>
        </w:rPr>
        <w:t>Risk Assessment</w:t>
      </w:r>
    </w:p>
    <w:p>
      <w:pPr>
        <w:pStyle w:val="Normal"/>
        <w:tabs>
          <w:tab w:val="left" w:pos="540" w:leader="none"/>
          <w:tab w:val="left" w:pos="25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numPr>
          <w:ilvl w:val="0"/>
          <w:numId w:val="4"/>
        </w:numPr>
        <w:jc w:val="star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To be completed by the requesting party</w:t>
      </w:r>
    </w:p>
    <w:p>
      <w:pPr>
        <w:pStyle w:val="BodyText"/>
        <w:numPr>
          <w:ilvl w:val="0"/>
          <w:numId w:val="4"/>
        </w:numPr>
        <w:jc w:val="star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Comments to be added by various functional sign-offs as needed</w:t>
      </w:r>
    </w:p>
    <w:p>
      <w:pPr>
        <w:pStyle w:val="BodyText"/>
        <w:jc w:val="start"/>
        <w:rPr>
          <w:rFonts w:ascii="Arial" w:hAnsi="Arial" w:cs="Arial"/>
          <w:b/>
          <w:sz w:val="20"/>
          <w:u w:val="single"/>
        </w:rPr>
      </w:pPr>
      <w:r>
        <w:rPr>
          <w:rFonts w:cs="Arial" w:ascii="Arial" w:hAnsi="Arial"/>
          <w:b/>
          <w:sz w:val="20"/>
          <w:u w:val="single"/>
        </w:rPr>
      </w:r>
    </w:p>
    <w:p>
      <w:pPr>
        <w:pStyle w:val="BodyText"/>
        <w:jc w:val="start"/>
        <w:rPr>
          <w:rFonts w:ascii="Arial" w:hAnsi="Arial" w:cs="Arial"/>
          <w:b/>
          <w:sz w:val="20"/>
          <w:u w:val="single"/>
        </w:rPr>
      </w:pPr>
      <w:r>
        <w:rPr>
          <w:rFonts w:cs="Arial" w:ascii="Arial" w:hAnsi="Arial"/>
          <w:b/>
          <w:sz w:val="20"/>
          <w:u w:val="single"/>
        </w:rPr>
      </w:r>
    </w:p>
    <w:p>
      <w:pPr>
        <w:pStyle w:val="BodyText"/>
        <w:jc w:val="start"/>
        <w:rPr>
          <w:rFonts w:ascii="Arial" w:hAnsi="Arial" w:cs="Arial"/>
          <w:b/>
          <w:sz w:val="20"/>
          <w:u w:val="single"/>
        </w:rPr>
      </w:pPr>
      <w:r>
        <w:rPr>
          <w:rFonts w:cs="Arial" w:ascii="Arial" w:hAnsi="Arial"/>
          <w:b/>
          <w:sz w:val="20"/>
          <w:u w:val="single"/>
        </w:rPr>
        <w:t>Conditions Precedent to Effective Date</w:t>
      </w:r>
    </w:p>
    <w:p>
      <w:pPr>
        <w:pStyle w:val="BodyText"/>
        <w:numPr>
          <w:ilvl w:val="0"/>
          <w:numId w:val="6"/>
        </w:numPr>
        <w:jc w:val="star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List of items to be complete prior to the trading capital being allocated and the limits becoming effective.</w:t>
      </w:r>
    </w:p>
    <w:p>
      <w:pPr>
        <w:pStyle w:val="BodyText"/>
        <w:jc w:val="star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jc w:val="star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jc w:val="star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tabs>
          <w:tab w:val="left" w:pos="540" w:leader="none"/>
          <w:tab w:val="left" w:pos="2520" w:leader="none"/>
        </w:tabs>
        <w:ind w:hanging="2160" w:start="2160" w:end="0"/>
        <w:jc w:val="both"/>
        <w:rPr>
          <w:sz w:val="20"/>
        </w:rPr>
      </w:pPr>
      <w:r>
        <w:rPr>
          <w:b/>
          <w:sz w:val="20"/>
          <w:u w:val="single"/>
        </w:rPr>
        <w:t>Approvals</w:t>
      </w:r>
    </w:p>
    <w:p>
      <w:pPr>
        <w:pStyle w:val="Normal"/>
        <w:tabs>
          <w:tab w:val="left" w:pos="540" w:leader="none"/>
          <w:tab w:val="left" w:pos="25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rPr/>
      </w:pPr>
      <w:r>
        <w:rPr>
          <w:rFonts w:cs="Arial" w:ascii="Arial" w:hAnsi="Arial"/>
          <w:sz w:val="20"/>
        </w:rPr>
        <w:t>The aforementioned limits are effective on _________, subject to completion of the items listed in the</w:t>
      </w:r>
      <w:r>
        <w:rPr>
          <w:rFonts w:cs="Arial" w:ascii="Arial" w:hAnsi="Arial"/>
          <w:b/>
          <w:sz w:val="20"/>
        </w:rPr>
        <w:t xml:space="preserve"> Conditions Precedent</w:t>
      </w:r>
      <w:r>
        <w:rPr>
          <w:rFonts w:cs="Arial" w:ascii="Arial" w:hAnsi="Arial"/>
          <w:sz w:val="20"/>
        </w:rPr>
        <w:t xml:space="preserve"> section.  For interim limit approvals, the limit shall remain in place unless amended by the signatories through _____ (no more than 6 months for new commodity).  </w:t>
      </w:r>
    </w:p>
    <w:p>
      <w:pPr>
        <w:pStyle w:val="BodyTex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"/>
        <w:rPr/>
      </w:pPr>
      <w:r>
        <w:rPr>
          <w:rFonts w:cs="Arial" w:ascii="Arial" w:hAnsi="Arial"/>
          <w:sz w:val="20"/>
        </w:rPr>
        <w:t xml:space="preserve">Signature below signifies this function will have the infrastructure in place to handle this new business, unless noted above in the </w:t>
      </w:r>
      <w:r>
        <w:rPr>
          <w:rFonts w:cs="Arial" w:ascii="Arial" w:hAnsi="Arial"/>
          <w:b/>
          <w:sz w:val="20"/>
        </w:rPr>
        <w:t>Conditions Precedent</w:t>
      </w:r>
      <w:r>
        <w:rPr>
          <w:rFonts w:cs="Arial" w:ascii="Arial" w:hAnsi="Arial"/>
          <w:sz w:val="20"/>
        </w:rPr>
        <w:t xml:space="preserve"> section.</w:t>
      </w:r>
    </w:p>
    <w:p>
      <w:pPr>
        <w:pStyle w:val="BodyText"/>
        <w:rPr/>
      </w:pPr>
      <w:r>
        <w:rPr>
          <w:rFonts w:cs="Arial" w:ascii="Arial" w:hAnsi="Arial"/>
          <w:sz w:val="20"/>
        </w:rPr>
        <w:tab/>
        <w:tab/>
        <w:tab/>
        <w:tab/>
        <w:tab/>
        <w:tab/>
        <w:t xml:space="preserve">          </w:t>
      </w:r>
      <w:r>
        <w:rPr>
          <w:rFonts w:cs="Arial" w:ascii="Arial" w:hAnsi="Arial"/>
          <w:b/>
          <w:sz w:val="20"/>
        </w:rPr>
        <w:t>Approved</w:t>
        <w:tab/>
        <w:tab/>
        <w:tab/>
        <w:tab/>
        <w:t>Date</w:t>
      </w:r>
    </w:p>
    <w:p>
      <w:pPr>
        <w:pStyle w:val="BodyText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tabs>
          <w:tab w:val="clear" w:pos="540"/>
          <w:tab w:val="left" w:pos="0" w:leader="none"/>
          <w:tab w:val="left" w:pos="3780" w:leader="none"/>
          <w:tab w:val="left" w:pos="4320" w:leader="none"/>
        </w:tabs>
        <w:jc w:val="both"/>
        <w:rPr>
          <w:sz w:val="20"/>
        </w:rPr>
      </w:pPr>
      <w:r>
        <w:rPr>
          <w:sz w:val="20"/>
        </w:rPr>
        <w:t>Business Unit Head Trader</w:t>
      </w:r>
    </w:p>
    <w:p>
      <w:pPr>
        <w:pStyle w:val="Normal"/>
        <w:tabs>
          <w:tab w:val="clear" w:pos="540"/>
          <w:tab w:val="left" w:pos="0" w:leader="none"/>
          <w:tab w:val="left" w:pos="4140" w:leader="none"/>
          <w:tab w:val="left" w:pos="4320" w:leader="none"/>
        </w:tabs>
        <w:jc w:val="both"/>
        <w:rPr>
          <w:sz w:val="20"/>
        </w:rPr>
      </w:pPr>
      <w:r>
        <w:rPr>
          <w:sz w:val="20"/>
        </w:rPr>
        <w:t>(if not author of memo)</w:t>
        <w:tab/>
        <w:t>_______________________________               _____________</w:t>
      </w:r>
    </w:p>
    <w:p>
      <w:pPr>
        <w:pStyle w:val="Normal"/>
        <w:tabs>
          <w:tab w:val="clear" w:pos="540"/>
          <w:tab w:val="left" w:pos="0" w:leader="none"/>
          <w:tab w:val="left" w:pos="4140" w:leader="none"/>
          <w:tab w:val="left" w:pos="4320" w:leader="none"/>
        </w:tabs>
        <w:jc w:val="both"/>
        <w:rPr>
          <w:sz w:val="20"/>
          <w:u w:val="single"/>
        </w:rPr>
      </w:pPr>
      <w:r>
        <w:rPr>
          <w:sz w:val="20"/>
          <w:u w:val="single"/>
        </w:rPr>
      </w:r>
    </w:p>
    <w:p>
      <w:pPr>
        <w:pStyle w:val="Normal"/>
        <w:tabs>
          <w:tab w:val="clear" w:pos="540"/>
          <w:tab w:val="left" w:pos="0" w:leader="none"/>
          <w:tab w:val="left" w:pos="4140" w:leader="none"/>
          <w:tab w:val="left" w:pos="4320" w:leader="none"/>
        </w:tabs>
        <w:jc w:val="both"/>
        <w:rPr>
          <w:sz w:val="20"/>
        </w:rPr>
      </w:pPr>
      <w:r>
        <w:rPr>
          <w:sz w:val="20"/>
        </w:rPr>
        <w:t xml:space="preserve">Global Head Trader </w:t>
        <w:tab/>
        <w:t>_______________________________               _____________</w:t>
      </w:r>
    </w:p>
    <w:p>
      <w:pPr>
        <w:pStyle w:val="Normal"/>
        <w:tabs>
          <w:tab w:val="clear" w:pos="540"/>
          <w:tab w:val="left" w:pos="0" w:leader="none"/>
          <w:tab w:val="left" w:pos="4140" w:leader="none"/>
          <w:tab w:val="left" w:pos="4320" w:leader="none"/>
        </w:tabs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540"/>
          <w:tab w:val="left" w:pos="0" w:leader="none"/>
          <w:tab w:val="left" w:pos="4140" w:leader="none"/>
          <w:tab w:val="left" w:pos="4320" w:leader="none"/>
        </w:tabs>
        <w:jc w:val="both"/>
        <w:rPr>
          <w:sz w:val="20"/>
        </w:rPr>
      </w:pPr>
      <w:r>
        <w:rPr>
          <w:sz w:val="20"/>
        </w:rPr>
        <w:t>COO or CEO – Business Unit</w:t>
        <w:tab/>
        <w:t>_______________________________               _____________</w:t>
      </w:r>
    </w:p>
    <w:p>
      <w:pPr>
        <w:pStyle w:val="Normal"/>
        <w:tabs>
          <w:tab w:val="clear" w:pos="540"/>
          <w:tab w:val="left" w:pos="0" w:leader="none"/>
          <w:tab w:val="left" w:pos="4140" w:leader="none"/>
          <w:tab w:val="left" w:pos="4320" w:leader="none"/>
        </w:tabs>
        <w:jc w:val="both"/>
        <w:rPr>
          <w:sz w:val="20"/>
          <w:u w:val="single"/>
        </w:rPr>
      </w:pPr>
      <w:r>
        <w:rPr>
          <w:sz w:val="20"/>
        </w:rPr>
        <w:tab/>
        <w:tab/>
        <w:tab/>
        <w:tab/>
        <w:tab/>
      </w:r>
    </w:p>
    <w:p>
      <w:pPr>
        <w:pStyle w:val="Normal"/>
        <w:tabs>
          <w:tab w:val="left" w:pos="540" w:leader="none"/>
          <w:tab w:val="left" w:pos="41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  <w:t>Research</w:t>
        <w:tab/>
        <w:tab/>
        <w:t>_______________________________               _____________</w:t>
      </w:r>
    </w:p>
    <w:p>
      <w:pPr>
        <w:pStyle w:val="Normal"/>
        <w:tabs>
          <w:tab w:val="left" w:pos="540" w:leader="none"/>
          <w:tab w:val="left" w:pos="41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540" w:leader="none"/>
          <w:tab w:val="left" w:pos="41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  <w:t>Legal</w:t>
        <w:tab/>
        <w:tab/>
        <w:tab/>
        <w:t>_______________________________               _____________</w:t>
      </w:r>
    </w:p>
    <w:p>
      <w:pPr>
        <w:pStyle w:val="Normal"/>
        <w:tabs>
          <w:tab w:val="left" w:pos="540" w:leader="none"/>
          <w:tab w:val="left" w:pos="41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540" w:leader="none"/>
          <w:tab w:val="left" w:pos="414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  <w:t>Credit</w:t>
        <w:tab/>
        <w:tab/>
        <w:tab/>
        <w:t>_______________________________               _____________</w:t>
      </w:r>
    </w:p>
    <w:p>
      <w:pPr>
        <w:pStyle w:val="Normal"/>
        <w:tabs>
          <w:tab w:val="left" w:pos="540" w:leader="none"/>
          <w:tab w:val="left" w:pos="414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540" w:leader="none"/>
          <w:tab w:val="left" w:pos="41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  <w:t>Energy Operations Risk Management</w:t>
        <w:tab/>
        <w:t>_______________________________               _____________</w:t>
      </w:r>
    </w:p>
    <w:p>
      <w:pPr>
        <w:pStyle w:val="Normal"/>
        <w:tabs>
          <w:tab w:val="left" w:pos="540" w:leader="none"/>
          <w:tab w:val="left" w:pos="41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  <w:t>(business unit)</w:t>
        <w:tab/>
        <w:tab/>
        <w:tab/>
        <w:tab/>
        <w:tab/>
        <w:tab/>
      </w:r>
    </w:p>
    <w:p>
      <w:pPr>
        <w:pStyle w:val="Normal"/>
        <w:tabs>
          <w:tab w:val="left" w:pos="540" w:leader="none"/>
          <w:tab w:val="left" w:pos="41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540" w:leader="none"/>
          <w:tab w:val="left" w:pos="41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  <w:t>Global Energy Operations Risk Management</w:t>
        <w:tab/>
        <w:t>_______________________________               _____________</w:t>
      </w:r>
    </w:p>
    <w:p>
      <w:pPr>
        <w:pStyle w:val="Normal"/>
        <w:tabs>
          <w:tab w:val="left" w:pos="540" w:leader="none"/>
          <w:tab w:val="left" w:pos="41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  <w:t>(if new commodity group on DPR)</w:t>
      </w:r>
    </w:p>
    <w:p>
      <w:pPr>
        <w:pStyle w:val="Normal"/>
        <w:tabs>
          <w:tab w:val="left" w:pos="540" w:leader="none"/>
          <w:tab w:val="left" w:pos="41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540" w:leader="none"/>
          <w:tab w:val="left" w:pos="41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  <w:t>Accounting (if new product)</w:t>
        <w:tab/>
        <w:t>_______________________________               _____________</w:t>
      </w:r>
    </w:p>
    <w:p>
      <w:pPr>
        <w:pStyle w:val="Normal"/>
        <w:tabs>
          <w:tab w:val="left" w:pos="540" w:leader="none"/>
          <w:tab w:val="left" w:pos="41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540" w:leader="none"/>
          <w:tab w:val="left" w:pos="41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  <w:t>Tax (if new product)</w:t>
        <w:tab/>
        <w:tab/>
        <w:t>_______________________________               _____________</w:t>
      </w:r>
    </w:p>
    <w:p>
      <w:pPr>
        <w:pStyle w:val="Normal"/>
        <w:tabs>
          <w:tab w:val="left" w:pos="540" w:leader="none"/>
          <w:tab w:val="left" w:pos="41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540" w:leader="none"/>
          <w:tab w:val="left" w:pos="41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  <w:t>Enron Net Works (if EOL involved)</w:t>
        <w:tab/>
        <w:t>_______________________________               _____________</w:t>
      </w:r>
    </w:p>
    <w:p>
      <w:pPr>
        <w:pStyle w:val="Normal"/>
        <w:tabs>
          <w:tab w:val="left" w:pos="540" w:leader="none"/>
          <w:tab w:val="left" w:pos="41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540" w:leader="none"/>
          <w:tab w:val="left" w:pos="41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  <w:t>Regulatory (if new product or market)</w:t>
        <w:tab/>
        <w:t>_______________________________               _____________</w:t>
      </w:r>
    </w:p>
    <w:p>
      <w:pPr>
        <w:pStyle w:val="Normal"/>
        <w:tabs>
          <w:tab w:val="left" w:pos="540" w:leader="none"/>
          <w:tab w:val="left" w:pos="3240" w:leader="none"/>
          <w:tab w:val="left" w:pos="41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540" w:leader="none"/>
          <w:tab w:val="left" w:pos="41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  <w:t>Market Risk Management</w:t>
        <w:tab/>
        <w:t>_______________________________               _____________</w:t>
      </w:r>
    </w:p>
    <w:p>
      <w:pPr>
        <w:pStyle w:val="Normal"/>
        <w:tabs>
          <w:tab w:val="left" w:pos="540" w:leader="none"/>
          <w:tab w:val="left" w:pos="41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540" w:leader="none"/>
          <w:tab w:val="left" w:pos="41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  <w:t>Rick Buy, CRO</w:t>
        <w:tab/>
        <w:tab/>
        <w:t>_______________________________               _____________</w:t>
      </w:r>
    </w:p>
    <w:p>
      <w:pPr>
        <w:pStyle w:val="Normal"/>
        <w:tabs>
          <w:tab w:val="left" w:pos="540" w:leader="none"/>
          <w:tab w:val="left" w:pos="4140" w:leader="none"/>
          <w:tab w:val="left" w:pos="4320" w:leader="none"/>
        </w:tabs>
        <w:ind w:hanging="2160" w:start="2160" w:end="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left" w:pos="540" w:leader="none"/>
          <w:tab w:val="left" w:pos="4140" w:leader="none"/>
          <w:tab w:val="left" w:pos="4320" w:leader="none"/>
        </w:tabs>
        <w:ind w:hanging="2160" w:start="2160" w:end="0"/>
        <w:jc w:val="both"/>
        <w:rPr/>
      </w:pPr>
      <w:r>
        <w:rPr>
          <w:sz w:val="20"/>
        </w:rPr>
        <w:t>Jeff Skilling, President/COO (if new product)</w:t>
        <w:tab/>
        <w:t xml:space="preserve">_______________________________        </w:t>
      </w:r>
      <w:r>
        <w:rPr>
          <w:rFonts w:cs="Times New Roman" w:ascii="Times New Roman" w:hAnsi="Times New Roman"/>
          <w:sz w:val="22"/>
        </w:rPr>
        <w:t xml:space="preserve">       _____________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720" w:right="720" w:gutter="0" w:header="720" w:top="776" w:footer="360" w:bottom="90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object w:dxaOrig="1397" w:dyaOrig="1382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position:absolute;margin-left:-21.6pt;margin-top:-735.65pt;width:69.85pt;height:69.1pt;mso-wrap-distance-left:9.05pt;mso-wrap-distance-right:9.05pt;mso-position-horizontal-relative:text;mso-position-vertical-relative:text" filled="f" o:ole="">
          <v:imagedata r:id="rId2" o:title=""/>
        </v:shape>
        <o:OLEObject Type="Embed" ProgID="" ShapeID="ole_rId1" DrawAspect="Content" ObjectID="_298835519" r:id="rId1"/>
      </w:object>
    </w:r>
    <w:r>
      <w:rPr>
        <w:b/>
        <w:sz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</w:rPr>
    </w:pP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DATE \@"M/d/yyyy" </w:instrText>
    </w:r>
    <w:r>
      <w:rPr>
        <w:sz w:val="20"/>
      </w:rPr>
      <w:fldChar w:fldCharType="separate"/>
    </w:r>
    <w:r>
      <w:rPr>
        <w:sz w:val="20"/>
      </w:rPr>
      <w:t>9/28/2025</w:t>
    </w:r>
    <w:r>
      <w:rPr>
        <w:sz w:val="20"/>
      </w:rPr>
      <w:fldChar w:fldCharType="end"/>
    </w:r>
    <w:r>
      <w:rPr>
        <w:sz w:val="20"/>
      </w:rPr>
      <w:tab/>
      <w:tab/>
      <w:t xml:space="preserve">             Page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</w:p>
  <w:p>
    <w:pPr>
      <w:pStyle w:val="BodyTextIndent3"/>
      <w:jc w:val="end"/>
      <w:rPr/>
    </w:pPr>
    <w:r>
      <w:rPr/>
      <w:t>Proprietary and Confidential</w:t>
    </w:r>
  </w:p>
  <w:p>
    <w:pPr>
      <w:pStyle w:val="Header"/>
      <w:rPr>
        <w:sz w:val="20"/>
      </w:rPr>
    </w:pPr>
    <w:r>
      <w:rPr>
        <w:sz w:val="20"/>
      </w:rPr>
    </w:r>
  </w:p>
  <w:p>
    <w:pPr>
      <w:pStyle w:val="Header"/>
      <w:rPr>
        <w:sz w:val="20"/>
      </w:rPr>
    </w:pPr>
    <w:r>
      <w:rPr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2">
              <wp:simplePos x="0" y="0"/>
              <wp:positionH relativeFrom="page">
                <wp:posOffset>2615565</wp:posOffset>
              </wp:positionH>
              <wp:positionV relativeFrom="paragraph">
                <wp:posOffset>-189865</wp:posOffset>
              </wp:positionV>
              <wp:extent cx="3877310" cy="937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937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</w:t>
                          </w:r>
                        </w:p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  <w:r>
                            <w:rPr>
                              <w:b/>
                              <w:sz w:val="32"/>
                            </w:rPr>
                            <w:t>Proprietary and Confidential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73.8pt;mso-wrap-distance-left:9.35pt;mso-wrap-distance-right:9.35pt;mso-wrap-distance-top:0pt;mso-wrap-distance-bottom:0pt;margin-top:-14.95pt;mso-position-vertical-relative:text;margin-left:205.9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</w:t>
                    </w:r>
                  </w:p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Memorandum</w:t>
                    </w:r>
                    <w:r>
                      <w:rPr>
                        <w:b/>
                        <w:sz w:val="32"/>
                      </w:rPr>
                      <w:t>Proprietary and Confidential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540"/>
      </w:tabs>
      <w:outlineLvl w:val="0"/>
    </w:pPr>
    <w:rPr>
      <w:rFonts w:ascii="Times New Roman" w:hAnsi="Times New Roman" w:cs="Times New Roman"/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540"/>
      </w:tabs>
      <w:outlineLvl w:val="1"/>
    </w:pPr>
    <w:rPr>
      <w:rFonts w:ascii="Times New Roman" w:hAnsi="Times New Roman" w:cs="Times New Roman"/>
      <w:i/>
      <w:sz w:val="2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540"/>
      </w:tabs>
      <w:outlineLvl w:val="3"/>
    </w:pPr>
    <w:rPr>
      <w:rFonts w:ascii="Times New Roman" w:hAnsi="Times New Roman" w:cs="Times New Roman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left" w:pos="540" w:leader="none"/>
        <w:tab w:val="left" w:pos="2520" w:leader="none"/>
      </w:tabs>
      <w:ind w:hanging="2160" w:start="2160" w:end="0"/>
      <w:jc w:val="both"/>
      <w:outlineLvl w:val="4"/>
    </w:pPr>
    <w:rPr>
      <w:rFonts w:ascii="Times New Roman" w:hAnsi="Times New Roman" w:cs="Times New Roman"/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left" w:pos="540" w:leader="none"/>
        <w:tab w:val="left" w:pos="4320" w:leader="none"/>
      </w:tabs>
      <w:ind w:hanging="2160" w:start="2160" w:end="0"/>
      <w:jc w:val="center"/>
      <w:outlineLvl w:val="5"/>
    </w:pPr>
    <w:rPr>
      <w:rFonts w:ascii="Times New Roman" w:hAnsi="Times New Roman" w:cs="Times New Roman"/>
      <w:b/>
      <w:sz w:val="22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both"/>
      <w:outlineLvl w:val="6"/>
    </w:pPr>
    <w:rPr>
      <w:rFonts w:ascii="Times New Roman" w:hAnsi="Times New Roman" w:cs="Times New Roman"/>
      <w:b/>
      <w:sz w:val="22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tabs>
        <w:tab w:val="clear" w:pos="540"/>
        <w:tab w:val="left" w:pos="0" w:leader="none"/>
      </w:tabs>
      <w:jc w:val="both"/>
    </w:pPr>
    <w:rPr>
      <w:rFonts w:ascii="Times New Roman" w:hAnsi="Times New Roman" w:cs="Times New Roman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Indent">
    <w:name w:val="Body Text Indent"/>
    <w:basedOn w:val="Normal"/>
    <w:pPr>
      <w:tabs>
        <w:tab w:val="clear" w:pos="540"/>
      </w:tabs>
      <w:ind w:hanging="720" w:start="720" w:end="0"/>
    </w:pPr>
    <w:rPr>
      <w:rFonts w:ascii="Times New Roman" w:hAnsi="Times New Roman" w:cs="Times New Roman"/>
      <w:sz w:val="20"/>
    </w:rPr>
  </w:style>
  <w:style w:type="paragraph" w:styleId="BodyTextIndent2">
    <w:name w:val="Body Text Indent 2"/>
    <w:basedOn w:val="Normal"/>
    <w:qFormat/>
    <w:pPr>
      <w:ind w:hanging="0" w:start="720" w:end="0"/>
    </w:pPr>
    <w:rPr>
      <w:sz w:val="20"/>
    </w:rPr>
  </w:style>
  <w:style w:type="paragraph" w:styleId="BodyTextIndent3">
    <w:name w:val="Body Text Indent 3"/>
    <w:basedOn w:val="Normal"/>
    <w:qFormat/>
    <w:pPr>
      <w:ind w:hanging="0" w:start="3600" w:end="0"/>
      <w:jc w:val="center"/>
    </w:pPr>
    <w:rPr>
      <w:b/>
      <w:color w:val="FF0000"/>
      <w:sz w:val="20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2001-01-22T17:35:00Z</dcterms:created>
  <dc:creator>Jeff Ford</dc:creator>
  <dc:description/>
  <dc:language>en-CA</dc:language>
  <cp:lastModifiedBy>cschult</cp:lastModifiedBy>
  <cp:lastPrinted>2000-10-24T14:16:00Z</cp:lastPrinted>
  <dcterms:modified xsi:type="dcterms:W3CDTF">2001-04-04T16:24:00Z</dcterms:modified>
  <cp:revision>4</cp:revision>
  <dc:subject/>
  <dc:title>Eron Capital &amp; Trade Resources Memo</dc:title>
</cp:coreProperties>
</file>