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CONFIDENTIAL:   Concept and Definitions:   (</w:t>
      </w:r>
      <w:r>
        <w:rPr>
          <w:u w:val="single"/>
        </w:rPr>
        <w:t>VERY</w:t>
      </w:r>
      <w:r>
        <w:rPr/>
        <w:t xml:space="preserve"> ROUGH DRAFT)</w:t>
      </w:r>
    </w:p>
    <w:p>
      <w:pPr>
        <w:pStyle w:val="Normal"/>
        <w:rPr/>
      </w:pPr>
      <w:r>
        <w:rPr/>
      </w:r>
    </w:p>
    <w:p>
      <w:pPr>
        <w:pStyle w:val="Normal"/>
        <w:rPr/>
      </w:pPr>
      <w:r>
        <w:rPr/>
        <w:t>No place is there a more obvious basic economic law so clear as in the global human blood supply.  Socially and politically, there is also a clear mandate that human blood is to be free from commercial exploitation.  However, in the process of donor development, screening, extracting, analyzing, storing, distributing, administrating, reporting, funding and managing the processes there are tremendous inefficiencies, waste and conflicting activities.  Hence, if a system could be designed that separates the public issues from the processes themselves and an economic model could be built which incentivizes all the interested parties from donor to the various institutions as well as regulating entities, an economic reward could be the result.  The resulting economic reward could be shared so as to lower human blood processing costs for all concerned.  In fact, the model could ultimate be designed to self liquate much like a design-operate-transfer as an infrastructure transaction at some time in the future.</w:t>
      </w:r>
    </w:p>
    <w:p>
      <w:pPr>
        <w:pStyle w:val="Normal"/>
        <w:rPr/>
      </w:pPr>
      <w:r>
        <w:rPr/>
      </w:r>
    </w:p>
    <w:p>
      <w:pPr>
        <w:pStyle w:val="Normal"/>
        <w:rPr/>
      </w:pPr>
      <w:r>
        <w:rPr/>
        <w:t>The ancillary benefits would be that certain parts of the System could remain permanently privately owned and managed for the cardholder lifespan.</w:t>
      </w:r>
    </w:p>
    <w:p>
      <w:pPr>
        <w:pStyle w:val="Normal"/>
        <w:rPr/>
      </w:pPr>
      <w:r>
        <w:rPr/>
      </w:r>
    </w:p>
    <w:p>
      <w:pPr>
        <w:pStyle w:val="Normal"/>
        <w:rPr/>
      </w:pPr>
      <w:r>
        <w:rPr/>
        <w:t>Definitions:   The tentative names, entity purposes and objectives are preliminary thoughts to be refined as the economic model is developed.</w:t>
      </w:r>
    </w:p>
    <w:p>
      <w:pPr>
        <w:pStyle w:val="Normal"/>
        <w:rPr/>
      </w:pPr>
      <w:r>
        <w:rPr/>
      </w:r>
    </w:p>
    <w:p>
      <w:pPr>
        <w:pStyle w:val="Normal"/>
        <w:rPr/>
      </w:pPr>
      <w:r>
        <w:rPr/>
        <w:t xml:space="preserve">Global </w:t>
      </w:r>
      <w:r>
        <w:rPr>
          <w:u w:val="single"/>
        </w:rPr>
        <w:t>LifeTrak</w:t>
      </w:r>
      <w:r>
        <w:rPr/>
        <w:t xml:space="preserve"> System:   The system and organization which interfaces with institutions, regulators and assists in the design of a “smart card” which identifies its user and serves as the universal transaction processing component which is intended to be issued through participating institutions, health care providers, insurer, or other public and private organizations.</w:t>
      </w:r>
    </w:p>
    <w:p>
      <w:pPr>
        <w:pStyle w:val="Normal"/>
        <w:rPr/>
      </w:pPr>
      <w:r>
        <w:rPr/>
      </w:r>
    </w:p>
    <w:p>
      <w:pPr>
        <w:pStyle w:val="Normal"/>
        <w:rPr/>
      </w:pPr>
      <w:r>
        <w:rPr/>
        <w:t>LifeTrak Card:  The personal identification card which validates the user, medical history, family information, blood analysis information, present credits for user and other beneficiaries and settlement process involving debit and credit transactions relative to interacting institutions.</w:t>
      </w:r>
    </w:p>
    <w:p>
      <w:pPr>
        <w:pStyle w:val="Normal"/>
        <w:rPr/>
      </w:pPr>
      <w:r>
        <w:rPr/>
      </w:r>
    </w:p>
    <w:p>
      <w:pPr>
        <w:pStyle w:val="Normal"/>
        <w:rPr/>
      </w:pPr>
      <w:r>
        <w:rPr/>
        <w:t xml:space="preserve">LifeTrak Card System:   The “smart card” system itself which processes all transactions and maintains the record keeping and settlement processes between all parties.  </w:t>
      </w:r>
    </w:p>
    <w:p>
      <w:pPr>
        <w:pStyle w:val="Normal"/>
        <w:rPr/>
      </w:pPr>
      <w:r>
        <w:rPr/>
      </w:r>
    </w:p>
    <w:p>
      <w:pPr>
        <w:pStyle w:val="Normal"/>
        <w:rPr/>
      </w:pPr>
      <w:r>
        <w:rPr/>
        <w:t>LifeTrak HemoSys -</w:t>
        <w:tab/>
        <w:t xml:space="preserve">Phase One:  The initial system module and economic model which links all participating institutions; blood banks, hospitals, clinics, laboratories, HMOs, insurers and participating user/cardholder donors and beneficiares. </w:t>
      </w:r>
    </w:p>
    <w:p>
      <w:pPr>
        <w:pStyle w:val="Normal"/>
        <w:rPr/>
      </w:pPr>
      <w:r>
        <w:rPr/>
      </w:r>
    </w:p>
    <w:p>
      <w:pPr>
        <w:pStyle w:val="Normal"/>
        <w:rPr/>
      </w:pPr>
      <w:r>
        <w:rPr/>
        <w:t xml:space="preserve">LifeTrak Management Services:   The entity which designs, implements, transacts, settles, and manages the LifeTrak System and modularized products and services for the membership group of institutions.  </w:t>
      </w:r>
    </w:p>
    <w:p>
      <w:pPr>
        <w:pStyle w:val="Normal"/>
        <w:rPr/>
      </w:pPr>
      <w:r>
        <w:rPr/>
        <w:tab/>
      </w:r>
    </w:p>
    <w:p>
      <w:pPr>
        <w:pStyle w:val="Normal"/>
        <w:rPr/>
      </w:pPr>
      <w:r>
        <w:rPr/>
      </w:r>
    </w:p>
    <w:p>
      <w:pPr>
        <w:pStyle w:val="Normal"/>
        <w:rPr>
          <w:i/>
          <w:i/>
        </w:rPr>
      </w:pPr>
      <w:r>
        <w:rPr>
          <w:i/>
        </w:rPr>
      </w:r>
    </w:p>
    <w:p>
      <w:pPr>
        <w:pStyle w:val="Normal"/>
        <w:rPr/>
      </w:pPr>
      <w:r>
        <w:rPr/>
        <w:tab/>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osterBodoni BT">
    <w:charset w:val="00" w:characterSet="windows-1252"/>
    <w:family w:val="auto"/>
    <w:pitch w:val="variable"/>
  </w:font>
  <w:font w:name="BodoniPoster">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 w:hAnsi="Book Antiqua" w:cs="Book Antiqua"/>
        <w:sz w:val="18"/>
      </w:rPr>
    </w:pPr>
    <w:r>
      <w:rPr>
        <w:rFonts w:cs="Book Antiqua" w:ascii="Book Antiqua" w:hAnsi="Book Antiqua"/>
        <w:sz w:val="18"/>
      </w:rPr>
      <w:t xml:space="preserve">12 Greenway Plaza, Suite  1100,  Houston, Texas 77046 USA                      </w:t>
    </w:r>
  </w:p>
  <w:p>
    <w:pPr>
      <w:pStyle w:val="Footer"/>
      <w:jc w:val="center"/>
      <w:rPr/>
    </w:pPr>
    <w:r>
      <w:rPr>
        <w:rFonts w:cs="Book Antiqua" w:ascii="Book Antiqua" w:hAnsi="Book Antiqua"/>
        <w:sz w:val="18"/>
      </w:rPr>
      <w:t xml:space="preserve">Tel 713 783 4634    </w:t>
    </w:r>
    <w:r>
      <w:rPr>
        <w:rFonts w:eastAsia="Symbol" w:cs="Symbol" w:ascii="Symbol" w:hAnsi="Symbol"/>
        <w:sz w:val="18"/>
      </w:rPr>
      <w:sym w:font="Symbol" w:char="f0a8"/>
    </w:r>
    <w:r>
      <w:rPr>
        <w:rFonts w:cs="Book Antiqua" w:ascii="Book Antiqua" w:hAnsi="Book Antiqua"/>
        <w:sz w:val="18"/>
      </w:rPr>
      <w:t xml:space="preserve">     Fax 713 783 4638</w:t>
    </w:r>
  </w:p>
  <w:p>
    <w:pPr>
      <w:pStyle w:val="Footer"/>
      <w:rPr>
        <w:rFonts w:ascii="Book Antiqua" w:hAnsi="Book Antiqua" w:cs="Book Antiqua"/>
        <w:sz w:val="18"/>
      </w:rPr>
    </w:pPr>
    <w:r>
      <w:rPr>
        <w:rFonts w:cs="Book Antiqua" w:ascii="Book Antiqua" w:hAnsi="Book Antiqua"/>
        <w:sz w:val="18"/>
      </w:rPr>
      <w:tab/>
      <w:t xml:space="preserve">            eFax 425 795 1961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PosterBodoni BT" w:hAnsi="PosterBodoni BT" w:cs="PosterBodoni BT"/>
        <w:color w:val="C0C0C0"/>
        <w:sz w:val="18"/>
      </w:rPr>
    </w:pPr>
    <w:r>
      <w:rPr>
        <w:rFonts w:cs="PosterBodoni BT" w:ascii="PosterBodoni BT" w:hAnsi="PosterBodoni BT"/>
        <w:color w:val="C0C0C0"/>
        <w:sz w:val="36"/>
      </w:rPr>
      <mc:AlternateContent>
        <mc:Choice Requires="wps">
          <w:drawing>
            <wp:anchor behindDoc="1" distT="0" distB="0" distL="114935" distR="114935" simplePos="0" locked="0" layoutInCell="1" allowOverlap="1" relativeHeight="3">
              <wp:simplePos x="0" y="0"/>
              <wp:positionH relativeFrom="column">
                <wp:posOffset>-2011680</wp:posOffset>
              </wp:positionH>
              <wp:positionV relativeFrom="paragraph">
                <wp:posOffset>-3291840</wp:posOffset>
              </wp:positionV>
              <wp:extent cx="732155" cy="2494280"/>
              <wp:effectExtent l="2540" t="1905" r="1270" b="1905"/>
              <wp:wrapNone/>
              <wp:docPr id="1" name=""/>
              <a:graphic xmlns:a="http://schemas.openxmlformats.org/drawingml/2006/main">
                <a:graphicData uri="http://schemas.microsoft.com/office/word/2010/wordprocessingShape">
                  <wps:wsp>
                    <wps:cNvSpPr/>
                    <wps:spPr>
                      <a:xfrm>
                        <a:off x="0" y="0"/>
                        <a:ext cx="732240" cy="2494440"/>
                      </a:xfrm>
                      <a:prstGeom prst="rect">
                        <a:avLst/>
                      </a:prstGeom>
                      <a:noFill/>
                      <a:ln w="3240">
                        <a:solidFill>
                          <a:srgbClr val="7f7f7f"/>
                        </a:solidFill>
                        <a:miter/>
                      </a:ln>
                    </wps:spPr>
                    <wps:style>
                      <a:lnRef idx="0"/>
                      <a:fillRef idx="0"/>
                      <a:effectRef idx="0"/>
                      <a:fontRef idx="minor"/>
                    </wps:style>
                    <wps:bodyPr/>
                  </wps:wsp>
                </a:graphicData>
              </a:graphic>
            </wp:anchor>
          </w:drawing>
        </mc:Choice>
        <mc:Fallback>
          <w:pict>
            <v:rect id="shape_0" stroked="t" o:allowincell="f" style="position:absolute;margin-left:-158.4pt;margin-top:-259.2pt;width:57.6pt;height:196.35pt;mso-wrap-style:none;v-text-anchor:middle">
              <v:fill o:detectmouseclick="t" on="false"/>
              <v:stroke color="#7f7f7f" weight="3240" joinstyle="miter" endcap="flat"/>
              <w10:wrap type="none"/>
            </v:rect>
          </w:pict>
        </mc:Fallback>
      </mc:AlternateContent>
      <w:drawing>
        <wp:inline distT="0" distB="0" distL="0" distR="0">
          <wp:extent cx="723265" cy="4210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9" t="-68" r="-39" b="-68"/>
                  <a:stretch>
                    <a:fillRect/>
                  </a:stretch>
                </pic:blipFill>
                <pic:spPr bwMode="auto">
                  <a:xfrm>
                    <a:off x="0" y="0"/>
                    <a:ext cx="723265" cy="421005"/>
                  </a:xfrm>
                  <a:prstGeom prst="rect">
                    <a:avLst/>
                  </a:prstGeom>
                  <a:noFill/>
                </pic:spPr>
              </pic:pic>
            </a:graphicData>
          </a:graphic>
        </wp:inline>
      </w:drawing>
    </w:r>
  </w:p>
  <w:p>
    <w:pPr>
      <w:pStyle w:val="Header"/>
      <w:jc w:val="center"/>
      <w:rPr>
        <w:rFonts w:ascii="BodoniPoster" w:hAnsi="BodoniPoster" w:cs="BodoniPoster"/>
        <w:b/>
        <w:sz w:val="36"/>
      </w:rPr>
    </w:pPr>
    <w:r>
      <w:rPr>
        <w:rFonts w:eastAsia="BodoniPoster" w:cs="BodoniPoster" w:ascii="BodoniPoster" w:hAnsi="BodoniPoster"/>
        <w:b/>
        <w:sz w:val="36"/>
      </w:rPr>
      <w:t xml:space="preserve">  </w:t>
    </w:r>
    <w:r>
      <w:rPr>
        <w:rFonts w:cs="BodoniPoster" w:ascii="BodoniPoster" w:hAnsi="BodoniPoster"/>
        <w:b/>
        <w:sz w:val="36"/>
      </w:rPr>
      <w:t>Arfsten&amp;Co.</w:t>
    </w:r>
  </w:p>
  <w:p>
    <w:pPr>
      <w:pStyle w:val="Header"/>
      <w:jc w:val="center"/>
      <w:rPr>
        <w:rFonts w:ascii="Book Antiqua" w:hAnsi="Book Antiqua" w:cs="Book Antiqua"/>
        <w:sz w:val="18"/>
      </w:rPr>
    </w:pPr>
    <w:r>
      <w:rPr>
        <w:rFonts w:eastAsia="Book Antiqua" w:cs="Book Antiqua" w:ascii="Book Antiqua" w:hAnsi="Book Antiqua"/>
        <w:sz w:val="18"/>
      </w:rPr>
      <w:t xml:space="preserve">    </w:t>
    </w:r>
    <w:r>
      <w:rPr>
        <w:rFonts w:cs="Book Antiqua" w:ascii="Book Antiqua" w:hAnsi="Book Antiqua"/>
        <w:sz w:val="18"/>
      </w:rPr>
      <w:t>Merchant Bankers ~ Advisors</w:t>
    </w:r>
  </w:p>
  <w:p>
    <w:pPr>
      <w:pStyle w:val="Header"/>
      <w:jc w:val="center"/>
      <w:rPr>
        <w:rFonts w:ascii="Book Antiqua" w:hAnsi="Book Antiqua" w:cs="Book Antiqua"/>
        <w:b/>
        <w:sz w:val="16"/>
        <w:lang w:val="en-CA" w:eastAsia="en-CA"/>
      </w:rPr>
    </w:pPr>
    <w:r>
      <w:rPr>
        <w:rFonts w:cs="Book Antiqua" w:ascii="Book Antiqua" w:hAnsi="Book Antiqua"/>
        <w:b/>
        <w:sz w:val="16"/>
        <w:lang w:val="en-CA" w:eastAsia="en-CA"/>
      </w:rP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77470</wp:posOffset>
              </wp:positionV>
              <wp:extent cx="5943600" cy="0"/>
              <wp:effectExtent l="0" t="19050" r="0" b="19050"/>
              <wp:wrapNone/>
              <wp:docPr id="3" name=""/>
              <a:graphic xmlns:a="http://schemas.openxmlformats.org/drawingml/2006/main">
                <a:graphicData uri="http://schemas.microsoft.com/office/word/2010/wordprocessingShape">
                  <wps:wsp>
                    <wps:cNvSpPr/>
                    <wps:spPr>
                      <a:xfrm>
                        <a:off x="0" y="0"/>
                        <a:ext cx="5943600" cy="0"/>
                      </a:xfrm>
                      <a:prstGeom prst="line">
                        <a:avLst/>
                      </a:prstGeom>
                      <a:ln w="38160">
                        <a:solidFill>
                          <a:srgbClr val="c0c0c0"/>
                        </a:solidFill>
                        <a:miter/>
                      </a:ln>
                    </wps:spPr>
                    <wps:style>
                      <a:lnRef idx="0"/>
                      <a:fillRef idx="0"/>
                      <a:effectRef idx="0"/>
                      <a:fontRef idx="minor"/>
                    </wps:style>
                    <wps:bodyPr/>
                  </wps:wsp>
                </a:graphicData>
              </a:graphic>
            </wp:anchor>
          </w:drawing>
        </mc:Choice>
        <mc:Fallback>
          <w:pict>
            <v:line id="shape_0" from="0pt,6.1pt" to="467.95pt,6.1pt" stroked="t" o:allowincell="f" style="position:absolute">
              <v:stroke color="silver"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77470</wp:posOffset>
              </wp:positionV>
              <wp:extent cx="5943600" cy="0"/>
              <wp:effectExtent l="0" t="5080" r="0" b="5080"/>
              <wp:wrapNone/>
              <wp:docPr id="4"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1pt" to="467.95pt,6.1pt" stroked="t" o:allowincell="f" style="position:absolute">
              <v:stroke color="black" weight="9360" joinstyle="miter" endcap="flat"/>
              <v:fill o:detectmouseclick="t" on="false"/>
              <w10:wrap type="none"/>
            </v:line>
          </w:pict>
        </mc:Fallback>
      </mc:AlternateContent>
    </w:r>
  </w:p>
  <w:p>
    <w:pPr>
      <w:pStyle w:val="Header"/>
      <w:jc w:val="center"/>
      <w:rPr>
        <w:rFonts w:ascii="Book Antiqua" w:hAnsi="Book Antiqua" w:cs="Book Antiqua"/>
        <w:i/>
        <w:i/>
        <w:sz w:val="16"/>
      </w:rPr>
    </w:pPr>
    <w:r>
      <w:rPr>
        <w:rFonts w:cs="Book Antiqua" w:ascii="Book Antiqua" w:hAnsi="Book Antiqua"/>
        <w:i/>
        <w:sz w:val="16"/>
      </w:rPr>
      <w:t>Alfred E. Arfsten, Managing Director</w:t>
      <w:tab/>
      <w:t xml:space="preserve">                                                                                                                          Strategic Financial Alliances</w:t>
    </w:r>
  </w:p>
  <w:p>
    <w:pPr>
      <w:pStyle w:val="Header"/>
      <w:rPr/>
    </w:pPr>
    <w:r>
      <w:rPr>
        <w:rFonts w:cs="Book Antiqua" w:ascii="Book Antiqua" w:hAnsi="Book Antiqua"/>
        <w:i/>
        <w:sz w:val="16"/>
      </w:rPr>
      <w:t>aarfsten@hotmail.com                                                                                                                                              Business Development Advisors  di</w:t>
    </w:r>
    <w:r>
      <w:rPr>
        <w:i/>
        <w:sz w:val="16"/>
      </w:rPr>
      <w:t>rect: 713 201 6006                                                                                                                                                                   Established in 1970</w:t>
    </w:r>
  </w:p>
  <w:p>
    <w:pPr>
      <w:pStyle w:val="Header"/>
      <w:rPr>
        <w:i/>
        <w:i/>
        <w:sz w:val="16"/>
      </w:rPr>
    </w:pPr>
    <w:r>
      <w:rPr>
        <w:i/>
        <w:sz w:val="16"/>
      </w:rPr>
      <w:t>BFL:   713 965 2158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2001-01-25T18:58:00Z</dcterms:created>
  <dc:creator>The Staff</dc:creator>
  <dc:description/>
  <dc:language>en-CA</dc:language>
  <cp:lastModifiedBy>forest peterson</cp:lastModifiedBy>
  <cp:lastPrinted>2001-01-25T15:25:00Z</cp:lastPrinted>
  <dcterms:modified xsi:type="dcterms:W3CDTF">2001-01-25T19:54:00Z</dcterms:modified>
  <cp:revision>4</cp:revision>
  <dc:subject/>
  <dc:title>TELEFAX</dc:title>
</cp:coreProperties>
</file>