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sz w:val="24"/>
          <w:lang w:val="en-CA"/>
        </w:rPr>
      </w:pPr>
      <w:r>
        <w:rPr>
          <w:sz w:val="24"/>
          <w:lang w:val="en-CA"/>
        </w:rPr>
        <w:drawing>
          <wp:anchor behindDoc="0" distT="0" distB="0" distL="114935" distR="114935" simplePos="0" locked="0" layoutInCell="0" allowOverlap="1" relativeHeight="3">
            <wp:simplePos x="0" y="0"/>
            <wp:positionH relativeFrom="column">
              <wp:posOffset>1880235</wp:posOffset>
            </wp:positionH>
            <wp:positionV relativeFrom="paragraph">
              <wp:posOffset>2540</wp:posOffset>
            </wp:positionV>
            <wp:extent cx="1651635" cy="782320"/>
            <wp:effectExtent l="0" t="0" r="0" b="0"/>
            <wp:wrapTopAndBottom/>
            <wp:docPr id="1" name="lex"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x" descr="" title=""/>
                    <pic:cNvPicPr>
                      <a:picLocks noChangeAspect="1" noChangeArrowheads="1"/>
                    </pic:cNvPicPr>
                  </pic:nvPicPr>
                  <pic:blipFill>
                    <a:blip r:embed="rId2"/>
                    <a:srcRect l="-8" t="-18" r="-8" b="-18"/>
                    <a:stretch>
                      <a:fillRect/>
                    </a:stretch>
                  </pic:blipFill>
                  <pic:spPr bwMode="auto">
                    <a:xfrm>
                      <a:off x="0" y="0"/>
                      <a:ext cx="1651635" cy="782320"/>
                    </a:xfrm>
                    <a:prstGeom prst="rect">
                      <a:avLst/>
                    </a:prstGeom>
                    <a:noFill/>
                  </pic:spPr>
                </pic:pic>
              </a:graphicData>
            </a:graphic>
          </wp:anchor>
        </w:drawing>
      </w:r>
    </w:p>
    <w:p>
      <w:pPr>
        <w:pStyle w:val="Heading1"/>
        <w:pBdr>
          <w:bottom w:val="single" w:sz="6" w:space="1" w:color="000000"/>
        </w:pBdr>
        <w:ind w:hanging="0" w:start="0"/>
        <w:rPr>
          <w:sz w:val="24"/>
        </w:rPr>
      </w:pPr>
      <w:r>
        <w:rPr>
          <w:sz w:val="24"/>
        </w:rPr>
        <w:t>NEWS RELEASE</w:t>
      </w:r>
    </w:p>
    <w:p>
      <w:pPr>
        <w:pStyle w:val="Normal"/>
        <w:jc w:val="end"/>
        <w:rPr>
          <w:sz w:val="24"/>
        </w:rPr>
      </w:pPr>
      <w:r>
        <w:rPr>
          <w:sz w:val="24"/>
        </w:rPr>
      </w:r>
    </w:p>
    <w:p>
      <w:pPr>
        <w:pStyle w:val="Heading2"/>
        <w:pBdr>
          <w:top w:val="nil"/>
        </w:pBdr>
        <w:ind w:hanging="0" w:start="0"/>
        <w:rPr>
          <w:sz w:val="24"/>
        </w:rPr>
      </w:pPr>
      <w:r>
        <w:rPr>
          <w:sz w:val="24"/>
        </w:rPr>
        <w:t>FOR IMMEDIATE RELEASE</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BodyText"/>
        <w:rPr/>
      </w:pPr>
      <w:r>
        <w:rPr/>
        <w:t xml:space="preserve">LEXICON GENETICS Sublicenses POSITIVE-NEGATIVE SELECTION </w:t>
      </w:r>
    </w:p>
    <w:p>
      <w:pPr>
        <w:pStyle w:val="BodyText"/>
        <w:rPr/>
      </w:pPr>
      <w:r>
        <w:rPr/>
        <w:t>and isogenic dna TECHNOLOGies to Eli Lilly and Company</w:t>
      </w:r>
    </w:p>
    <w:p>
      <w:pPr>
        <w:pStyle w:val="Normal"/>
        <w:jc w:val="both"/>
        <w:rPr>
          <w:b/>
          <w:sz w:val="22"/>
        </w:rPr>
      </w:pPr>
      <w:r>
        <w:rPr>
          <w:b/>
          <w:sz w:val="22"/>
        </w:rPr>
      </w:r>
    </w:p>
    <w:p>
      <w:pPr>
        <w:pStyle w:val="Normal"/>
        <w:jc w:val="both"/>
        <w:rPr/>
      </w:pPr>
      <w:r>
        <w:rPr>
          <w:b/>
          <w:sz w:val="24"/>
        </w:rPr>
        <w:t>The Woodlands, Texas, November 16, 2000</w:t>
      </w:r>
      <w:r>
        <w:rPr>
          <w:sz w:val="24"/>
        </w:rPr>
        <w:t xml:space="preserve"> ― Lexicon Genetics Incorporated (Nasdaq: LEXG) has granted a non-exclusive sublicense to Eli Lilly and Company (NYSE: LLY) for the use of certain aspects of Lexicon’s positive-negative selection and isogenic DNA technologies. Lilly will use the technologies in its internal drug discovery and target validation programs. Financial terms were not disclosed. </w:t>
      </w:r>
    </w:p>
    <w:p>
      <w:pPr>
        <w:pStyle w:val="Normal"/>
        <w:jc w:val="both"/>
        <w:rPr>
          <w:sz w:val="24"/>
        </w:rPr>
      </w:pPr>
      <w:r>
        <w:rPr>
          <w:sz w:val="24"/>
        </w:rPr>
      </w:r>
    </w:p>
    <w:p>
      <w:pPr>
        <w:pStyle w:val="Heading3"/>
        <w:ind w:hanging="0" w:start="0"/>
        <w:rPr/>
      </w:pPr>
      <w:r>
        <w:rPr>
          <w:b w:val="false"/>
        </w:rPr>
        <w:t>“</w:t>
      </w:r>
      <w:r>
        <w:rPr>
          <w:b w:val="false"/>
          <w:i w:val="false"/>
        </w:rPr>
        <w:t xml:space="preserve">We are pleased that Lilly has joined our growing list of sublicensees for Lexicon’s powerful gene-targeting technology,” stated Randall B. Riggs, Senior Vice President of Business Development at Lexicon Genetics.  “We have eleven organizations who have accessed our technology; it has become the gold standard for target validation.” </w:t>
      </w:r>
    </w:p>
    <w:p>
      <w:pPr>
        <w:pStyle w:val="Normal"/>
        <w:rPr>
          <w:b/>
          <w:i/>
          <w:i/>
          <w:sz w:val="24"/>
        </w:rPr>
      </w:pPr>
      <w:r>
        <w:rPr>
          <w:b/>
          <w:i/>
          <w:sz w:val="24"/>
        </w:rPr>
      </w:r>
    </w:p>
    <w:p>
      <w:pPr>
        <w:pStyle w:val="Normal"/>
        <w:jc w:val="both"/>
        <w:rPr>
          <w:sz w:val="24"/>
        </w:rPr>
      </w:pPr>
      <w:r>
        <w:rPr>
          <w:sz w:val="24"/>
        </w:rPr>
        <w:t xml:space="preserve">Lexicon’s positive-negative selection and isogenic DNA technologies are efficient methods of targeting genes for the generation of knockout mice, which are used to determine the role of specific genes in mammalian disease and physiology.  Lexicon holds certain exclusive rights under the patents that cover positive-negative selection technology (U.S. patents 5,464,764, 5,487,992, 5,627,059 and 5,631,153) and isogenic DNA technology (U.S. patent 5,789,215).  </w:t>
      </w:r>
    </w:p>
    <w:p>
      <w:pPr>
        <w:pStyle w:val="Normal"/>
        <w:jc w:val="both"/>
        <w:rPr>
          <w:sz w:val="24"/>
        </w:rPr>
      </w:pPr>
      <w:r>
        <w:rPr>
          <w:sz w:val="24"/>
        </w:rPr>
      </w:r>
    </w:p>
    <w:p>
      <w:pPr>
        <w:pStyle w:val="Normal"/>
        <w:jc w:val="both"/>
        <w:rPr/>
      </w:pPr>
      <w:r>
        <w:rPr>
          <w:sz w:val="24"/>
        </w:rPr>
        <w:t>Lexicon Genetics Incorporated is a leader in defining the functions of genes for drug discovery using large-scale knockout mouse technology.  Complementary to its gene-specific custom knockout technology, Lexicon has invented high-throughput genome-wide gene trapping technology to discover thousands of genes and expand its OmniBank</w:t>
      </w:r>
      <w:r>
        <w:rPr>
          <w:sz w:val="24"/>
          <w:vertAlign w:val="superscript"/>
        </w:rPr>
        <w:t>®</w:t>
      </w:r>
      <w:r>
        <w:rPr>
          <w:sz w:val="24"/>
        </w:rPr>
        <w:t xml:space="preserve"> library of tens of thousands of knockout mouse clones.  The Company uses an integrated platform of functional genomics technologies to accelerate large-scale analysis of mammalian gene function for drug discovery.  Lexicon’s Internet exchange, </w:t>
      </w:r>
      <w:hyperlink r:id="rId3">
        <w:r>
          <w:rPr>
            <w:rStyle w:val="Hyperlink"/>
            <w:sz w:val="24"/>
          </w:rPr>
          <w:t>www.lexgen.com</w:t>
        </w:r>
      </w:hyperlink>
      <w:r>
        <w:rPr>
          <w:sz w:val="24"/>
        </w:rPr>
        <w:t xml:space="preserve">, enables researchers worldwide to access the OmniBank library and form collaborations with Lexicon to discover pharmaceutical products based on genes and knowledge of their functions. Lexicon has collaborations with leading pharmaceutical and academic institutions worldwide.  Additional Company information is available at </w:t>
      </w:r>
      <w:hyperlink r:id="rId4">
        <w:r>
          <w:rPr>
            <w:rStyle w:val="Hyperlink"/>
            <w:sz w:val="24"/>
          </w:rPr>
          <w:t>www.lexicon-genetics.com</w:t>
        </w:r>
      </w:hyperlink>
      <w:r>
        <w:rPr>
          <w:sz w:val="24"/>
        </w:rPr>
        <w:t>.</w:t>
      </w:r>
    </w:p>
    <w:p>
      <w:pPr>
        <w:pStyle w:val="BodyText3"/>
        <w:jc w:val="both"/>
        <w:rPr>
          <w:sz w:val="24"/>
        </w:rPr>
      </w:pPr>
      <w:r>
        <w:rPr>
          <w:sz w:val="24"/>
        </w:rPr>
      </w:r>
    </w:p>
    <w:p>
      <w:pPr>
        <w:pStyle w:val="BodyText2"/>
        <w:rPr/>
      </w:pPr>
      <w:r>
        <w:rPr/>
        <w:t>Statements in this press release that are not strictly historical are “forward-looking” statements as defined in the Private Securities Litigation Reform Act of 1995.  The actual results may differ materially from those projected in the forward-looking statements due to the risks and uncertainties that exist in Lexicon’s filings with the Securities and Exchange Commission.  The Company disclaims any obligations to update the statements in this press release.</w:t>
      </w:r>
    </w:p>
    <w:p>
      <w:pPr>
        <w:pStyle w:val="BodyText3"/>
        <w:jc w:val="both"/>
        <w:rPr/>
      </w:pPr>
      <w:r>
        <w:rPr/>
      </w:r>
    </w:p>
    <w:p>
      <w:pPr>
        <w:pStyle w:val="Normal"/>
        <w:jc w:val="center"/>
        <w:rPr>
          <w:sz w:val="24"/>
        </w:rPr>
      </w:pPr>
      <w:r>
        <w:rPr>
          <w:sz w:val="24"/>
        </w:rPr>
        <w:t># # #</w:t>
      </w:r>
    </w:p>
    <w:p>
      <w:pPr>
        <w:pStyle w:val="Normal"/>
        <w:rPr>
          <w:b/>
          <w:sz w:val="24"/>
        </w:rPr>
      </w:pPr>
      <w:r>
        <w:rPr>
          <w:b/>
          <w:sz w:val="24"/>
        </w:rPr>
      </w:r>
    </w:p>
    <w:p>
      <w:pPr>
        <w:pStyle w:val="Normal"/>
        <w:rPr/>
      </w:pPr>
      <w:r>
        <w:rPr>
          <w:b/>
          <w:sz w:val="24"/>
        </w:rPr>
        <w:t>Lexicon Genetics Contacts</w:t>
      </w:r>
      <w:r>
        <w:rPr>
          <w:sz w:val="24"/>
        </w:rPr>
        <w:t>:</w:t>
      </w:r>
    </w:p>
    <w:p>
      <w:pPr>
        <w:pStyle w:val="Heading6"/>
        <w:ind w:hanging="0" w:start="0"/>
        <w:rPr/>
      </w:pPr>
      <w:r>
        <w:rPr/>
        <w:t>Jennifer Wolford</w:t>
        <w:tab/>
        <w:tab/>
        <w:tab/>
        <w:tab/>
        <w:tab/>
        <w:tab/>
        <w:t>Doug MacDougall</w:t>
      </w:r>
    </w:p>
    <w:p>
      <w:pPr>
        <w:pStyle w:val="Normal"/>
        <w:rPr>
          <w:sz w:val="24"/>
        </w:rPr>
      </w:pPr>
      <w:r>
        <w:rPr>
          <w:sz w:val="24"/>
        </w:rPr>
        <w:t>Manager, Corporate Communications</w:t>
        <w:tab/>
        <w:tab/>
        <w:tab/>
        <w:t>Libby Wright</w:t>
      </w:r>
    </w:p>
    <w:p>
      <w:pPr>
        <w:pStyle w:val="Heading4"/>
        <w:pBdr>
          <w:top w:val="nil"/>
        </w:pBdr>
        <w:ind w:hanging="0" w:start="0"/>
        <w:rPr/>
      </w:pPr>
      <w:r>
        <w:rPr/>
        <w:t>Lexicon Genetics Incorporated</w:t>
        <w:tab/>
        <w:tab/>
        <w:tab/>
        <w:tab/>
        <w:t>Feinstein Kean Healthcare</w:t>
      </w:r>
    </w:p>
    <w:p>
      <w:pPr>
        <w:pStyle w:val="BodyText3"/>
        <w:rPr/>
      </w:pPr>
      <w:r>
        <w:rPr/>
        <w:t>281/364-0100</w:t>
        <w:tab/>
        <w:tab/>
        <w:tab/>
        <w:tab/>
        <w:tab/>
        <w:tab/>
        <w:tab/>
        <w:t>617/577-8110</w:t>
      </w:r>
    </w:p>
    <w:p>
      <w:pPr>
        <w:pStyle w:val="Normal"/>
        <w:rPr/>
      </w:pPr>
      <w:hyperlink r:id="rId5">
        <w:r>
          <w:rPr>
            <w:rStyle w:val="Hyperlink"/>
            <w:sz w:val="24"/>
          </w:rPr>
          <w:t>jwolford@lexgen.com</w:t>
        </w:r>
      </w:hyperlink>
      <w:r>
        <w:rPr>
          <w:sz w:val="24"/>
        </w:rPr>
        <w:tab/>
        <w:tab/>
        <w:tab/>
        <w:tab/>
        <w:tab/>
      </w:r>
      <w:hyperlink r:id="rId6">
        <w:r>
          <w:rPr>
            <w:rStyle w:val="Hyperlink"/>
            <w:sz w:val="24"/>
          </w:rPr>
          <w:t>dmacdougall@fkhealth.com</w:t>
        </w:r>
      </w:hyperlink>
      <w:r>
        <w:rPr>
          <w:sz w:val="24"/>
        </w:rPr>
        <w:t xml:space="preserv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sz w:val="24"/>
        </w:rPr>
      </w:pPr>
      <w:r>
        <w:rPr>
          <w:sz w:val="24"/>
        </w:rPr>
      </w:r>
    </w:p>
    <w:sectPr>
      <w:footerReference w:type="default" r:id="rId7"/>
      <w:footerReference w:type="first" r:id="rId8"/>
      <w:type w:val="nextPage"/>
      <w:pgSz w:w="12240" w:h="15840"/>
      <w:pgMar w:left="1800" w:right="1800" w:gutter="0" w:header="0" w:top="1170" w:footer="72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i/>
    </w:rPr>
  </w:style>
  <w:style w:type="paragraph" w:styleId="Heading2">
    <w:name w:val="heading 2"/>
    <w:basedOn w:val="Normal"/>
    <w:next w:val="Normal"/>
    <w:qFormat/>
    <w:pPr>
      <w:keepNext w:val="true"/>
      <w:numPr>
        <w:ilvl w:val="1"/>
        <w:numId w:val="1"/>
      </w:numPr>
      <w:pBdr>
        <w:top w:val="single" w:sz="4" w:space="1" w:color="000000"/>
      </w:pBdr>
      <w:outlineLvl w:val="1"/>
    </w:pPr>
    <w:rPr>
      <w:b/>
    </w:rPr>
  </w:style>
  <w:style w:type="paragraph" w:styleId="Heading3">
    <w:name w:val="heading 3"/>
    <w:basedOn w:val="Normal"/>
    <w:next w:val="Normal"/>
    <w:qFormat/>
    <w:pPr>
      <w:keepNext w:val="true"/>
      <w:numPr>
        <w:ilvl w:val="2"/>
        <w:numId w:val="1"/>
      </w:numPr>
      <w:jc w:val="both"/>
      <w:outlineLvl w:val="2"/>
    </w:pPr>
    <w:rPr>
      <w:b/>
      <w:i/>
      <w:sz w:val="24"/>
    </w:rPr>
  </w:style>
  <w:style w:type="paragraph" w:styleId="Heading4">
    <w:name w:val="heading 4"/>
    <w:basedOn w:val="Normal"/>
    <w:next w:val="Normal"/>
    <w:qFormat/>
    <w:pPr>
      <w:keepNext w:val="true"/>
      <w:numPr>
        <w:ilvl w:val="3"/>
        <w:numId w:val="1"/>
      </w:numPr>
      <w:pBdr>
        <w:top w:val="single" w:sz="4" w:space="1" w:color="000000"/>
      </w:pBdr>
      <w:outlineLvl w:val="3"/>
    </w:pPr>
    <w:rPr>
      <w:sz w:val="24"/>
    </w:rPr>
  </w:style>
  <w:style w:type="paragraph" w:styleId="Heading6">
    <w:name w:val="heading 6"/>
    <w:basedOn w:val="Normal"/>
    <w:next w:val="Normal"/>
    <w:qFormat/>
    <w:pPr>
      <w:keepNext w:val="true"/>
      <w:numPr>
        <w:ilvl w:val="5"/>
        <w:numId w:val="1"/>
      </w:numPr>
      <w:outlineLvl w:val="5"/>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cap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8"/>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style>
  <w:style w:type="paragraph" w:styleId="BodyText2">
    <w:name w:val="Body Text 2"/>
    <w:basedOn w:val="Normal"/>
    <w:qFormat/>
    <w:pPr>
      <w:jc w:val="both"/>
    </w:pPr>
    <w:rPr>
      <w:i/>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lexgen.com/" TargetMode="External"/><Relationship Id="rId4" Type="http://schemas.openxmlformats.org/officeDocument/2006/relationships/hyperlink" Target="http://www.lexicon-genetics.com/" TargetMode="External"/><Relationship Id="rId5" Type="http://schemas.openxmlformats.org/officeDocument/2006/relationships/hyperlink" Target="../doc/jwade@lexgen.com" TargetMode="External"/><Relationship Id="rId6" Type="http://schemas.openxmlformats.org/officeDocument/2006/relationships/hyperlink" Target="mailto:dmacdougall@fkhealth.com"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2000-11-16T11:54:00Z</dcterms:created>
  <dc:creator>FKH</dc:creator>
  <dc:description/>
  <dc:language>en-CA</dc:language>
  <cp:lastModifiedBy>Colleen M Parker</cp:lastModifiedBy>
  <cp:lastPrinted>2000-11-15T14:42:00Z</cp:lastPrinted>
  <dcterms:modified xsi:type="dcterms:W3CDTF">2000-11-16T11:54:00Z</dcterms:modified>
  <cp:revision>2</cp:revision>
  <dc:subject/>
  <dc:title/>
</cp:coreProperties>
</file>