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MEMORANDUM</w:t>
      </w:r>
    </w:p>
    <w:p>
      <w:pPr>
        <w:pStyle w:val="Normal"/>
        <w:jc w:val="center"/>
        <w:rPr/>
      </w:pPr>
      <w:r>
        <w:rPr/>
      </w:r>
    </w:p>
    <w:p>
      <w:pPr>
        <w:pStyle w:val="Normal"/>
        <w:rPr/>
      </w:pPr>
      <w:r>
        <w:rPr/>
        <w:t>Date:</w:t>
        <w:tab/>
        <w:t>October 4, 2001</w:t>
      </w:r>
    </w:p>
    <w:p>
      <w:pPr>
        <w:pStyle w:val="Normal"/>
        <w:rPr/>
      </w:pPr>
      <w:r>
        <w:rPr/>
      </w:r>
    </w:p>
    <w:p>
      <w:pPr>
        <w:pStyle w:val="Normal"/>
        <w:rPr/>
      </w:pPr>
      <w:r>
        <w:rPr/>
        <w:t>To:</w:t>
        <w:tab/>
        <w:t>Larry Campbell</w:t>
      </w:r>
    </w:p>
    <w:p>
      <w:pPr>
        <w:pStyle w:val="Normal"/>
        <w:rPr/>
      </w:pPr>
      <w:r>
        <w:rPr/>
        <w:tab/>
        <w:t>Division Environmental Specialist</w:t>
      </w:r>
    </w:p>
    <w:p>
      <w:pPr>
        <w:pStyle w:val="Normal"/>
        <w:rPr/>
      </w:pPr>
      <w:r>
        <w:rPr/>
        <w:tab/>
        <w:t>Enron Transportation Services Company</w:t>
      </w:r>
    </w:p>
    <w:p>
      <w:pPr>
        <w:pStyle w:val="Normal"/>
        <w:rPr/>
      </w:pPr>
      <w:r>
        <w:rPr/>
      </w:r>
    </w:p>
    <w:p>
      <w:pPr>
        <w:pStyle w:val="Normal"/>
        <w:rPr/>
      </w:pPr>
      <w:r>
        <w:rPr/>
        <w:t>From:</w:t>
        <w:tab/>
        <w:t>Jon Fields</w:t>
      </w:r>
    </w:p>
    <w:p>
      <w:pPr>
        <w:pStyle w:val="Normal"/>
        <w:rPr/>
      </w:pPr>
      <w:r>
        <w:rPr/>
        <w:tab/>
        <w:t>Argent Consulting Services, Inc.</w:t>
      </w:r>
    </w:p>
    <w:p>
      <w:pPr>
        <w:pStyle w:val="Normal"/>
        <w:rPr/>
      </w:pPr>
      <w:r>
        <w:rPr/>
      </w:r>
    </w:p>
    <w:p>
      <w:pPr>
        <w:pStyle w:val="Normal"/>
        <w:rPr/>
      </w:pPr>
      <w:r>
        <w:rPr/>
        <w:t>Re:</w:t>
        <w:tab/>
        <w:t>Review of Draft Part 71 Permit</w:t>
      </w:r>
    </w:p>
    <w:p>
      <w:pPr>
        <w:pStyle w:val="Normal"/>
        <w:pBdr>
          <w:bottom w:val="single" w:sz="4" w:space="1" w:color="000000"/>
        </w:pBdr>
        <w:rPr/>
      </w:pPr>
      <w:r>
        <w:rPr/>
        <w:tab/>
        <w:t>Leupp Compressor Station</w:t>
      </w:r>
    </w:p>
    <w:p>
      <w:pPr>
        <w:pStyle w:val="Normal"/>
        <w:rPr/>
      </w:pPr>
      <w:r>
        <w:rPr/>
      </w:r>
    </w:p>
    <w:p>
      <w:pPr>
        <w:pStyle w:val="Normal"/>
        <w:rPr/>
      </w:pPr>
      <w:r>
        <w:rPr/>
        <w:t>Argent has reviewed the draft Part 71 permit for the Leupp Compressor Station;</w:t>
      </w:r>
    </w:p>
    <w:p>
      <w:pPr>
        <w:pStyle w:val="Normal"/>
        <w:rPr/>
      </w:pPr>
      <w:r>
        <w:rPr/>
      </w:r>
    </w:p>
    <w:p>
      <w:pPr>
        <w:pStyle w:val="Normal"/>
        <w:numPr>
          <w:ilvl w:val="0"/>
          <w:numId w:val="1"/>
        </w:numPr>
        <w:rPr/>
      </w:pPr>
      <w:r>
        <w:rPr>
          <w:b/>
          <w:bCs/>
        </w:rPr>
        <w:t>Source Identification</w:t>
      </w:r>
      <w:r>
        <w:rPr/>
        <w:t>:</w:t>
      </w:r>
    </w:p>
    <w:p>
      <w:pPr>
        <w:pStyle w:val="BodyTextIndent"/>
        <w:rPr/>
      </w:pPr>
      <w:r>
        <w:rPr/>
        <w:t>The responsible official needs to be updated to reflect Randy Rice, Senior Director;</w:t>
      </w:r>
    </w:p>
    <w:p>
      <w:pPr>
        <w:pStyle w:val="Normal"/>
        <w:numPr>
          <w:ilvl w:val="0"/>
          <w:numId w:val="1"/>
        </w:numPr>
        <w:rPr/>
      </w:pPr>
      <w:r>
        <w:rPr>
          <w:b/>
          <w:bCs/>
        </w:rPr>
        <w:t>Emission Limits</w:t>
      </w:r>
      <w:r>
        <w:rPr/>
        <w:t>:</w:t>
      </w:r>
    </w:p>
    <w:p>
      <w:pPr>
        <w:pStyle w:val="Normal"/>
        <w:ind w:start="1080" w:end="0"/>
        <w:rPr/>
      </w:pPr>
      <w:r>
        <w:rPr/>
        <w:t>The draft permit limits NOx and CO emissions to 25 ppmv at 15% O2, based on a 3-hour average, except during periods of startup and shutdown.  At 60</w:t>
      </w:r>
      <w:r>
        <w:rPr>
          <w:vertAlign w:val="superscript"/>
        </w:rPr>
        <w:t>o</w:t>
      </w:r>
      <w:r>
        <w:rPr/>
        <w:t>F and above the GE data indicates that these rates are achievable under all operating conditions.  However, GE data indicates that NOx and CO may be as high as 40 ppmv during cold weather operations (40</w:t>
      </w:r>
      <w:r>
        <w:rPr>
          <w:vertAlign w:val="superscript"/>
        </w:rPr>
        <w:t>o</w:t>
      </w:r>
      <w:r>
        <w:rPr/>
        <w:t>F and below) and low-load conditions.</w:t>
      </w:r>
    </w:p>
    <w:p>
      <w:pPr>
        <w:pStyle w:val="Normal"/>
        <w:ind w:start="360" w:end="0"/>
        <w:rPr/>
      </w:pPr>
      <w:r>
        <w:rPr/>
      </w:r>
    </w:p>
    <w:p>
      <w:pPr>
        <w:pStyle w:val="BodyTextIndent"/>
        <w:rPr/>
      </w:pPr>
      <w:r>
        <w:rPr/>
        <w:t>The permit application represented turbine operations at based load 80% of the time with reduced load operations (64% load) occurring no more than 20% of the time.  The potential to emit calculations, which were accepted by the EPA for the netting analysis, took these conditions into account (See EPA Statement of Basis document).  Does TWP anticipate a problem with these two conditions?  Recommend requesting higher NOx and CO limits (40 ppmv) if cold weather low load operations are anticipated.</w:t>
      </w:r>
    </w:p>
    <w:p>
      <w:pPr>
        <w:pStyle w:val="Normal"/>
        <w:numPr>
          <w:ilvl w:val="0"/>
          <w:numId w:val="1"/>
        </w:numPr>
        <w:rPr/>
      </w:pPr>
      <w:r>
        <w:rPr>
          <w:b/>
          <w:bCs/>
        </w:rPr>
        <w:t>Work Practice and Operational Requirements</w:t>
      </w:r>
      <w:r>
        <w:rPr/>
        <w:t>:</w:t>
      </w:r>
    </w:p>
    <w:p>
      <w:pPr>
        <w:pStyle w:val="BodyTextIndent"/>
        <w:rPr/>
      </w:pPr>
      <w:r>
        <w:rPr/>
        <w:t>The term “Catepillar” is misspelled throughout the document.  As written the condition does not allow TWP a period where one of the generator engines can be started and brought on-line before shutting down the other unit.  This will leave the station temporarily without power.  Recommend requesting wording as follows: “The permittee shall not operate Emission Units 323 and 324 (Caterpillar generator engines) simultaneously, except during periods of startup and shutdown.”</w:t>
      </w:r>
    </w:p>
    <w:p>
      <w:pPr>
        <w:pStyle w:val="Normal"/>
        <w:numPr>
          <w:ilvl w:val="0"/>
          <w:numId w:val="1"/>
        </w:numPr>
        <w:rPr/>
      </w:pPr>
      <w:r>
        <w:rPr>
          <w:b/>
          <w:bCs/>
        </w:rPr>
        <w:t>Monitoring and Testing Requirements</w:t>
      </w:r>
      <w:r>
        <w:rPr/>
        <w:t>:</w:t>
      </w:r>
    </w:p>
    <w:p>
      <w:pPr>
        <w:pStyle w:val="BodyTextIndent"/>
        <w:rPr/>
      </w:pPr>
      <w:r>
        <w:rPr/>
        <w:t>Condition 3 cites specific ASTM methods and approved alternative methods.  Enron has numerous custom fuel monitoring schedules approved by the EPA that specifically cite the stain tube method.  Argent recommends adding the wording, “GPA Standard 2377-86 is an approved alternative method” to clarify the condition.</w:t>
      </w:r>
    </w:p>
    <w:p>
      <w:pPr>
        <w:pStyle w:val="BodyTextIndent"/>
        <w:rPr/>
      </w:pPr>
      <w:r>
        <w:rPr/>
      </w:r>
    </w:p>
    <w:p>
      <w:pPr>
        <w:pStyle w:val="BodyTextIndent"/>
        <w:rPr/>
      </w:pPr>
      <w:r>
        <w:rPr/>
        <w:t>Condition 5 requires that TWP verify compliance with the SO</w:t>
      </w:r>
      <w:r>
        <w:rPr>
          <w:vertAlign w:val="subscript"/>
        </w:rPr>
        <w:t>2</w:t>
      </w:r>
      <w:r>
        <w:rPr/>
        <w:t xml:space="preserve"> limitation specified under 40 CFR 60.333 as part of the fuel monitoring program.  However, 40 CFR 60.333 requires affected sources to comply with “one or the other” following conditions; SO</w:t>
      </w:r>
      <w:r>
        <w:rPr>
          <w:vertAlign w:val="subscript"/>
        </w:rPr>
        <w:t>2</w:t>
      </w:r>
      <w:r>
        <w:rPr/>
        <w:t xml:space="preserve"> emissions may not exceed 0.015 percent by volume at 15% oxygen on a dry basis, </w:t>
      </w:r>
      <w:r>
        <w:rPr>
          <w:u w:val="single"/>
        </w:rPr>
        <w:t>or</w:t>
      </w:r>
      <w:r>
        <w:rPr/>
        <w:t xml:space="preserve"> fuel shall not contain sulfur in excess of 0.8 wt%.  Condition II.B.1 limits fuel to 0.8 wt%.  Therefore, the requirement to estimate SO</w:t>
      </w:r>
      <w:r>
        <w:rPr>
          <w:vertAlign w:val="subscript"/>
        </w:rPr>
        <w:t>2</w:t>
      </w:r>
      <w:r>
        <w:rPr/>
        <w:t xml:space="preserve"> under II.C.5 should not be necessary.  Argent recommends rewording this condition; “If after monitoring required in condition II.C.4 above, the sulfur content shows little variability and indicates consistent compliance with 40 CFR 60.333, then sulfur monitoring shall be conducted during the first and third quarter of each calendar year.”</w:t>
      </w:r>
    </w:p>
    <w:p>
      <w:pPr>
        <w:pStyle w:val="BodyTextIndent"/>
        <w:rPr/>
      </w:pPr>
      <w:r>
        <w:rPr/>
      </w:r>
    </w:p>
    <w:p>
      <w:pPr>
        <w:pStyle w:val="BodyTextIndent"/>
        <w:rPr>
          <w:b/>
          <w:bCs/>
        </w:rPr>
      </w:pPr>
      <w:r>
        <w:rPr>
          <w:b/>
          <w:bCs/>
        </w:rPr>
        <w:t>Transition Period</w:t>
      </w:r>
    </w:p>
    <w:p>
      <w:pPr>
        <w:pStyle w:val="BodyTextIndent"/>
        <w:rPr/>
      </w:pPr>
      <w:r>
        <w:rPr/>
        <w:t>The transition period is defined as the six month period that starts on the first day either 304, 323, or 324 operates.  Due to the complexity of the turbine startup and shakedown period, Argent suggests that TWP start unit 304 before units 323 or 324.  This will maximize the time available for the turbine phase-in period.  No change is recommended in the draft permit.</w:t>
      </w:r>
    </w:p>
    <w:p>
      <w:pPr>
        <w:pStyle w:val="BodyTextIndent"/>
        <w:rPr/>
      </w:pPr>
      <w:r>
        <w:rPr/>
      </w:r>
    </w:p>
    <w:p>
      <w:pPr>
        <w:pStyle w:val="BodyTextIndent"/>
        <w:ind w:start="360" w:end="0"/>
        <w:rPr/>
      </w:pPr>
      <w:r>
        <w:rPr/>
        <w:t>All other conditions were reviewed with no comments offered.</w:t>
      </w:r>
    </w:p>
    <w:p>
      <w:pPr>
        <w:pStyle w:val="BodyTextIndent"/>
        <w:ind w:start="360" w:end="0"/>
        <w:rPr/>
      </w:pPr>
      <w:r>
        <w:rPr/>
      </w:r>
    </w:p>
    <w:p>
      <w:pPr>
        <w:pStyle w:val="BodyTextIndent"/>
        <w:ind w:start="360" w:end="0"/>
        <w:rPr/>
      </w:pPr>
      <w:r>
        <w:rPr/>
        <w:t>END</w:t>
      </w:r>
    </w:p>
    <w:p>
      <w:pPr>
        <w:pStyle w:val="BodyTextInden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Corsiva">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Monotype Corsiva" w:hAnsi="Monotype Corsiva" w:cs="Arial"/>
      <w:i/>
      <w:sz w:val="40"/>
    </w:rPr>
  </w:style>
  <w:style w:type="paragraph" w:styleId="BodyTextIndent">
    <w:name w:val="Body Text Indent"/>
    <w:basedOn w:val="Normal"/>
    <w:pPr>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2001-10-04T18:31:00Z</dcterms:created>
  <dc:creator>Jon Fields</dc:creator>
  <dc:description/>
  <dc:language>en-CA</dc:language>
  <cp:lastModifiedBy>Jon Fields</cp:lastModifiedBy>
  <cp:lastPrinted>2001-10-04T16:09:00Z</cp:lastPrinted>
  <dcterms:modified xsi:type="dcterms:W3CDTF">2001-10-04T18:39:00Z</dcterms:modified>
  <cp:revision>4</cp:revision>
  <dc:subject/>
  <dc:title>MEMORANDUM</dc:title>
</cp:coreProperties>
</file>