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210" w:leader="none"/>
        </w:tabs>
        <w:rPr/>
      </w:pPr>
      <w:r>
        <w:rPr/>
      </w:r>
      <w:bookmarkStart w:id="0" w:name="LETTER"/>
      <w:bookmarkStart w:id="1" w:name="LETTER"/>
      <w:bookmarkEnd w:id="1"/>
    </w:p>
    <w:p>
      <w:pPr>
        <w:pStyle w:val="Normal"/>
        <w:tabs>
          <w:tab w:val="clear" w:pos="720"/>
          <w:tab w:val="left" w:pos="6210" w:leader="none"/>
        </w:tabs>
        <w:rPr/>
      </w:pPr>
      <w:r>
        <w:rPr/>
      </w:r>
    </w:p>
    <w:p>
      <w:pPr>
        <w:pStyle w:val="Normal"/>
        <w:tabs>
          <w:tab w:val="clear" w:pos="720"/>
          <w:tab w:val="left" w:pos="6210" w:leader="none"/>
        </w:tabs>
        <w:rPr>
          <w:sz w:val="20"/>
        </w:rPr>
      </w:pPr>
      <w:r>
        <w:rPr>
          <w:sz w:val="20"/>
        </w:rPr>
      </w:r>
    </w:p>
    <w:p>
      <w:pPr>
        <w:pStyle w:val="Normal"/>
        <w:tabs>
          <w:tab w:val="clear" w:pos="720"/>
          <w:tab w:val="left" w:pos="6681" w:leader="none"/>
        </w:tabs>
        <w:rPr>
          <w:b/>
          <w:spacing w:val="-20"/>
          <w:sz w:val="20"/>
        </w:rPr>
      </w:pPr>
      <w:r>
        <w:rPr>
          <w:b/>
          <w:spacing w:val="-20"/>
          <w:sz w:val="20"/>
        </w:rPr>
      </w:r>
      <w:r>
        <mc:AlternateContent>
          <mc:Choice Requires="wps">
            <w:drawing>
              <wp:anchor behindDoc="0" distT="0" distB="0" distL="114935" distR="114935" simplePos="0" locked="0" layoutInCell="1" allowOverlap="1" relativeHeight="2">
                <wp:simplePos x="0" y="0"/>
                <wp:positionH relativeFrom="column">
                  <wp:posOffset>0</wp:posOffset>
                </wp:positionH>
                <wp:positionV relativeFrom="paragraph">
                  <wp:posOffset>635</wp:posOffset>
                </wp:positionV>
                <wp:extent cx="3657600" cy="544195"/>
                <wp:effectExtent l="0" t="0" r="0" b="0"/>
                <wp:wrapNone/>
                <wp:docPr id="1" name="Frame1"/>
                <a:graphic xmlns:a="http://schemas.openxmlformats.org/drawingml/2006/main">
                  <a:graphicData uri="http://schemas.microsoft.com/office/word/2010/wordprocessingShape">
                    <wps:wsp>
                      <wps:cNvSpPr txBox="1"/>
                      <wps:spPr>
                        <a:xfrm>
                          <a:off x="0" y="0"/>
                          <a:ext cx="3657600" cy="544195"/>
                        </a:xfrm>
                        <a:prstGeom prst="rect"/>
                        <a:solidFill>
                          <a:srgbClr val="FFFFFF"/>
                        </a:solidFill>
                      </wps:spPr>
                      <wps:txbx>
                        <w:txbxContent>
                          <w:p>
                            <w:pPr>
                              <w:pStyle w:val="Normal"/>
                              <w:rPr>
                                <w:rFonts w:ascii="BCGLogo" w:hAnsi="BCGLogo" w:cs="BCGLogo"/>
                                <w:color w:val="000000"/>
                                <w:sz w:val="70"/>
                              </w:rPr>
                            </w:pPr>
                            <w:r>
                              <w:rPr>
                                <w:rFonts w:cs="BCGLogo" w:ascii="BCGLogo" w:hAnsi="BCGLogo"/>
                                <w:color w:val="000000"/>
                                <w:sz w:val="70"/>
                              </w:rPr>
                              <w:t>blake</w:t>
                            </w:r>
                          </w:p>
                        </w:txbxContent>
                      </wps:txbx>
                      <wps:bodyPr anchor="t" lIns="635" tIns="635" rIns="635" bIns="635">
                        <a:noAutofit/>
                      </wps:bodyPr>
                    </wps:wsp>
                  </a:graphicData>
                </a:graphic>
              </wp:anchor>
            </w:drawing>
          </mc:Choice>
          <mc:Fallback>
            <w:pict>
              <v:rect fillcolor="#FFFFFF" style="position:absolute;rotation:-0;width:288pt;height:42.85pt;mso-wrap-distance-left:9.05pt;mso-wrap-distance-right:9.05pt;mso-wrap-distance-top:0pt;mso-wrap-distance-bottom:0pt;margin-top:0pt;mso-position-vertical-relative:text;margin-left:0pt;mso-position-horizontal-relative:text">
                <v:textbox inset="0.000694444444444445in,0.000694444444444445in,0.000694444444444445in,0.000694444444444445in">
                  <w:txbxContent>
                    <w:p>
                      <w:pPr>
                        <w:pStyle w:val="Normal"/>
                        <w:rPr>
                          <w:rFonts w:ascii="BCGLogo" w:hAnsi="BCGLogo" w:cs="BCGLogo"/>
                          <w:color w:val="000000"/>
                          <w:sz w:val="70"/>
                        </w:rPr>
                      </w:pPr>
                      <w:r>
                        <w:rPr>
                          <w:rFonts w:cs="BCGLogo" w:ascii="BCGLogo" w:hAnsi="BCGLogo"/>
                          <w:color w:val="000000"/>
                          <w:sz w:val="70"/>
                        </w:rPr>
                        <w:t>blake</w:t>
                      </w:r>
                    </w:p>
                  </w:txbxContent>
                </v:textbox>
                <w10:wrap type="none"/>
              </v:rect>
            </w:pict>
          </mc:Fallback>
        </mc:AlternateContent>
      </w:r>
    </w:p>
    <w:p>
      <w:pPr>
        <w:pStyle w:val="Normal"/>
        <w:tabs>
          <w:tab w:val="clear" w:pos="720"/>
          <w:tab w:val="left" w:pos="6682" w:leader="none"/>
        </w:tabs>
        <w:rPr>
          <w:sz w:val="20"/>
        </w:rPr>
      </w:pPr>
      <w:r>
        <w:rPr>
          <w:sz w:val="20"/>
        </w:rPr>
      </w:r>
    </w:p>
    <w:p>
      <w:pPr>
        <w:pStyle w:val="Normal"/>
        <w:tabs>
          <w:tab w:val="clear" w:pos="720"/>
          <w:tab w:val="left" w:pos="6682" w:leader="none"/>
        </w:tabs>
        <w:rPr/>
      </w:pPr>
      <w:r>
        <w:rPr>
          <w:sz w:val="20"/>
        </w:rPr>
        <w:tab/>
      </w:r>
      <w:r>
        <w:rPr>
          <w:spacing w:val="-2"/>
          <w:sz w:val="20"/>
        </w:rPr>
        <w:t>Suite 2600, Three Bentall Centre</w:t>
      </w:r>
    </w:p>
    <w:p>
      <w:pPr>
        <w:pStyle w:val="Normal"/>
        <w:tabs>
          <w:tab w:val="clear" w:pos="720"/>
          <w:tab w:val="left" w:pos="6682" w:leader="none"/>
        </w:tabs>
        <w:rPr>
          <w:spacing w:val="-2"/>
          <w:sz w:val="20"/>
        </w:rPr>
      </w:pPr>
      <w:r>
        <w:rPr>
          <w:spacing w:val="-2"/>
          <w:sz w:val="20"/>
        </w:rPr>
        <w:tab/>
        <w:t>P.O. Box 49314</w:t>
      </w:r>
    </w:p>
    <w:p>
      <w:pPr>
        <w:pStyle w:val="Normal"/>
        <w:tabs>
          <w:tab w:val="clear" w:pos="720"/>
          <w:tab w:val="left" w:pos="6682" w:leader="none"/>
        </w:tabs>
        <w:rPr>
          <w:spacing w:val="-2"/>
          <w:sz w:val="20"/>
        </w:rPr>
      </w:pPr>
      <w:r>
        <w:rPr>
          <w:spacing w:val="-2"/>
          <w:sz w:val="20"/>
        </w:rPr>
        <w:tab/>
        <w:t>595 Burrard Street</w:t>
      </w:r>
    </w:p>
    <w:p>
      <w:pPr>
        <w:pStyle w:val="CommentText"/>
        <w:tabs>
          <w:tab w:val="clear" w:pos="720"/>
          <w:tab w:val="left" w:pos="6682" w:leader="none"/>
        </w:tabs>
        <w:spacing w:before="0" w:after="0"/>
        <w:ind w:end="-360"/>
        <w:rPr>
          <w:spacing w:val="-2"/>
        </w:rPr>
      </w:pPr>
      <w:r>
        <w:rPr>
          <w:spacing w:val="-2"/>
        </w:rPr>
        <w:tab/>
        <w:t>Vancouver, British Columbia, Canada</w:t>
      </w:r>
    </w:p>
    <w:p>
      <w:pPr>
        <w:pStyle w:val="Normal"/>
        <w:numPr>
          <w:ilvl w:val="0"/>
          <w:numId w:val="0"/>
        </w:numPr>
        <w:tabs>
          <w:tab w:val="clear" w:pos="720"/>
          <w:tab w:val="left" w:pos="6682" w:leader="none"/>
        </w:tabs>
        <w:outlineLvl w:val="0"/>
        <w:rPr>
          <w:spacing w:val="-2"/>
          <w:sz w:val="20"/>
        </w:rPr>
      </w:pPr>
      <w:r>
        <w:rPr>
          <w:spacing w:val="-2"/>
          <w:sz w:val="20"/>
        </w:rPr>
        <w:tab/>
        <w:t>V7X 1L3</w:t>
      </w:r>
    </w:p>
    <w:p>
      <w:pPr>
        <w:pStyle w:val="Normal"/>
        <w:rPr>
          <w:spacing w:val="-2"/>
          <w:sz w:val="20"/>
        </w:rPr>
      </w:pPr>
      <w:r>
        <w:rPr>
          <w:spacing w:val="-2"/>
          <w:sz w:val="20"/>
        </w:rPr>
      </w:r>
      <w:r>
        <mc:AlternateContent>
          <mc:Choice Requires="wps">
            <w:drawing>
              <wp:anchor behindDoc="0" distT="0" distB="0" distL="114935" distR="114935" simplePos="0" locked="0" layoutInCell="1" allowOverlap="1" relativeHeight="4">
                <wp:simplePos x="0" y="0"/>
                <wp:positionH relativeFrom="column">
                  <wp:posOffset>4243070</wp:posOffset>
                </wp:positionH>
                <wp:positionV relativeFrom="page">
                  <wp:posOffset>2002790</wp:posOffset>
                </wp:positionV>
                <wp:extent cx="1828800" cy="457200"/>
                <wp:effectExtent l="0" t="0" r="0" b="0"/>
                <wp:wrapNone/>
                <wp:docPr id="2" name="Frame2"/>
                <a:graphic xmlns:a="http://schemas.openxmlformats.org/drawingml/2006/main">
                  <a:graphicData uri="http://schemas.microsoft.com/office/word/2010/wordprocessingShape">
                    <wps:wsp>
                      <wps:cNvSpPr txBox="1"/>
                      <wps:spPr>
                        <a:xfrm>
                          <a:off x="0" y="0"/>
                          <a:ext cx="1828800" cy="457200"/>
                        </a:xfrm>
                        <a:prstGeom prst="rect"/>
                        <a:solidFill>
                          <a:srgbClr val="FFFFFF"/>
                        </a:solidFill>
                      </wps:spPr>
                      <wps:txbx>
                        <w:txbxContent>
                          <w:p>
                            <w:pPr>
                              <w:pStyle w:val="Normal"/>
                              <w:rPr>
                                <w:sz w:val="20"/>
                              </w:rPr>
                            </w:pPr>
                            <w:r>
                              <w:rPr>
                                <w:sz w:val="20"/>
                              </w:rPr>
                              <w:t>Telephone: 604.631.3300</w:t>
                            </w:r>
                          </w:p>
                          <w:p>
                            <w:pPr>
                              <w:pStyle w:val="Normal"/>
                              <w:rPr>
                                <w:sz w:val="20"/>
                              </w:rPr>
                            </w:pPr>
                            <w:r>
                              <w:rPr>
                                <w:sz w:val="20"/>
                              </w:rPr>
                              <w:t>Facsimile: 604.631.3309</w:t>
                            </w:r>
                          </w:p>
                          <w:p>
                            <w:pPr>
                              <w:pStyle w:val="Normal"/>
                              <w:rPr>
                                <w:sz w:val="20"/>
                              </w:rPr>
                            </w:pPr>
                            <w:r>
                              <w:rPr>
                                <w:sz w:val="20"/>
                              </w:rPr>
                              <w:t>www.blakes.com</w:t>
                            </w:r>
                          </w:p>
                        </w:txbxContent>
                      </wps:txbx>
                      <wps:bodyPr anchor="t" lIns="635" tIns="635" rIns="635" bIns="635">
                        <a:noAutofit/>
                      </wps:bodyPr>
                    </wps:wsp>
                  </a:graphicData>
                </a:graphic>
              </wp:anchor>
            </w:drawing>
          </mc:Choice>
          <mc:Fallback>
            <w:pict>
              <v:rect fillcolor="#FFFFFF" style="position:absolute;rotation:-0;width:144pt;height:36pt;mso-wrap-distance-left:9.05pt;mso-wrap-distance-right:9.05pt;mso-wrap-distance-top:0pt;mso-wrap-distance-bottom:0pt;margin-top:157.7pt;mso-position-vertical-relative:page;margin-left:334.1pt;mso-position-horizontal-relative:text">
                <v:textbox inset="0.000694444444444445in,0.000694444444444445in,0.000694444444444445in,0.000694444444444445in">
                  <w:txbxContent>
                    <w:p>
                      <w:pPr>
                        <w:pStyle w:val="Normal"/>
                        <w:rPr>
                          <w:sz w:val="20"/>
                        </w:rPr>
                      </w:pPr>
                      <w:r>
                        <w:rPr>
                          <w:sz w:val="20"/>
                        </w:rPr>
                        <w:t>Telephone: 604.631.3300</w:t>
                      </w:r>
                    </w:p>
                    <w:p>
                      <w:pPr>
                        <w:pStyle w:val="Normal"/>
                        <w:rPr>
                          <w:sz w:val="20"/>
                        </w:rPr>
                      </w:pPr>
                      <w:r>
                        <w:rPr>
                          <w:sz w:val="20"/>
                        </w:rPr>
                        <w:t>Facsimile: 604.631.3309</w:t>
                      </w:r>
                    </w:p>
                    <w:p>
                      <w:pPr>
                        <w:pStyle w:val="Normal"/>
                        <w:rPr>
                          <w:sz w:val="20"/>
                        </w:rPr>
                      </w:pPr>
                      <w:r>
                        <w:rPr>
                          <w:sz w:val="20"/>
                        </w:rPr>
                        <w:t>www.blakes.com</w:t>
                      </w:r>
                    </w:p>
                  </w:txbxContent>
                </v:textbox>
                <w10:wrap type="none"/>
              </v:rect>
            </w:pict>
          </mc:Fallback>
        </mc:AlternateContent>
      </w:r>
    </w:p>
    <w:p>
      <w:pPr>
        <w:pStyle w:val="Normal"/>
        <w:rPr/>
      </w:pPr>
      <w:bookmarkStart w:id="2" w:name="Date"/>
      <w:bookmarkEnd w:id="2"/>
      <w:r>
        <w:rPr/>
        <w:t>December 13, 2000</w:t>
      </w:r>
    </w:p>
    <w:p>
      <w:pPr>
        <w:pStyle w:val="Normal"/>
        <w:rPr/>
      </w:pPr>
      <w:r>
        <w:rPr/>
      </w:r>
    </w:p>
    <w:p>
      <w:pPr>
        <w:pStyle w:val="Header"/>
        <w:rPr/>
      </w:pPr>
      <w:r>
        <w:rPr/>
      </w:r>
      <w:r>
        <mc:AlternateContent>
          <mc:Choice Requires="wps">
            <w:drawing>
              <wp:anchor behindDoc="0" distT="0" distB="0" distL="114935" distR="114935" simplePos="0" locked="0" layoutInCell="1" allowOverlap="1" relativeHeight="3">
                <wp:simplePos x="0" y="0"/>
                <wp:positionH relativeFrom="column">
                  <wp:posOffset>4243070</wp:posOffset>
                </wp:positionH>
                <wp:positionV relativeFrom="page">
                  <wp:posOffset>2606040</wp:posOffset>
                </wp:positionV>
                <wp:extent cx="2414270" cy="1112520"/>
                <wp:effectExtent l="0" t="0" r="0" b="0"/>
                <wp:wrapNone/>
                <wp:docPr id="3" name="Frame3"/>
                <a:graphic xmlns:a="http://schemas.openxmlformats.org/drawingml/2006/main">
                  <a:graphicData uri="http://schemas.microsoft.com/office/word/2010/wordprocessingShape">
                    <wps:wsp>
                      <wps:cNvSpPr txBox="1"/>
                      <wps:spPr>
                        <a:xfrm>
                          <a:off x="0" y="0"/>
                          <a:ext cx="2414270" cy="1112520"/>
                        </a:xfrm>
                        <a:prstGeom prst="rect"/>
                        <a:solidFill>
                          <a:srgbClr val="FFFFFF"/>
                        </a:solidFill>
                      </wps:spPr>
                      <wps:txbx>
                        <w:txbxContent>
                          <w:p>
                            <w:pPr>
                              <w:pStyle w:val="CommentText"/>
                              <w:spacing w:before="0" w:after="0"/>
                              <w:rPr>
                                <w:b/>
                              </w:rPr>
                            </w:pPr>
                            <w:bookmarkStart w:id="3" w:name="sender"/>
                            <w:bookmarkEnd w:id="3"/>
                            <w:r>
                              <w:rPr>
                                <w:b/>
                              </w:rPr>
                              <w:t>Scott A. Turner</w:t>
                            </w:r>
                          </w:p>
                          <w:p>
                            <w:pPr>
                              <w:pStyle w:val="CommentText"/>
                              <w:spacing w:before="0" w:after="0"/>
                              <w:rPr/>
                            </w:pPr>
                            <w:bookmarkStart w:id="4" w:name="sender2"/>
                            <w:bookmarkEnd w:id="4"/>
                            <w:r>
                              <w:rPr/>
                              <w:t>Direct Dial: 604.631.3318</w:t>
                            </w:r>
                          </w:p>
                          <w:p>
                            <w:pPr>
                              <w:pStyle w:val="CommentText"/>
                              <w:spacing w:before="0" w:after="0"/>
                              <w:rPr/>
                            </w:pPr>
                            <w:r>
                              <w:rPr/>
                              <w:t>E-mail: sat@blakes.com</w:t>
                            </w:r>
                          </w:p>
                          <w:p>
                            <w:pPr>
                              <w:pStyle w:val="CommentText"/>
                              <w:spacing w:before="0" w:after="0"/>
                              <w:rPr/>
                            </w:pPr>
                            <w:r>
                              <w:rPr/>
                              <w:t>Reference: 84411/15</w:t>
                            </w:r>
                          </w:p>
                        </w:txbxContent>
                      </wps:txbx>
                      <wps:bodyPr anchor="t" lIns="635" tIns="635" rIns="635" bIns="635">
                        <a:noAutofit/>
                      </wps:bodyPr>
                    </wps:wsp>
                  </a:graphicData>
                </a:graphic>
              </wp:anchor>
            </w:drawing>
          </mc:Choice>
          <mc:Fallback>
            <w:pict>
              <v:rect fillcolor="#FFFFFF" style="position:absolute;rotation:-0;width:190.1pt;height:87.6pt;mso-wrap-distance-left:9.05pt;mso-wrap-distance-right:9.05pt;mso-wrap-distance-top:0pt;mso-wrap-distance-bottom:0pt;margin-top:205.2pt;mso-position-vertical-relative:page;margin-left:334.1pt;mso-position-horizontal-relative:text">
                <v:textbox inset="0.000694444444444445in,0.000694444444444445in,0.000694444444444445in,0.000694444444444445in">
                  <w:txbxContent>
                    <w:p>
                      <w:pPr>
                        <w:pStyle w:val="CommentText"/>
                        <w:spacing w:before="0" w:after="0"/>
                        <w:rPr>
                          <w:b/>
                        </w:rPr>
                      </w:pPr>
                      <w:bookmarkStart w:id="5" w:name="sender"/>
                      <w:bookmarkEnd w:id="5"/>
                      <w:r>
                        <w:rPr>
                          <w:b/>
                        </w:rPr>
                        <w:t>Scott A. Turner</w:t>
                      </w:r>
                    </w:p>
                    <w:p>
                      <w:pPr>
                        <w:pStyle w:val="CommentText"/>
                        <w:spacing w:before="0" w:after="0"/>
                        <w:rPr/>
                      </w:pPr>
                      <w:bookmarkStart w:id="6" w:name="sender2"/>
                      <w:bookmarkEnd w:id="6"/>
                      <w:r>
                        <w:rPr/>
                        <w:t>Direct Dial: 604.631.3318</w:t>
                      </w:r>
                    </w:p>
                    <w:p>
                      <w:pPr>
                        <w:pStyle w:val="CommentText"/>
                        <w:spacing w:before="0" w:after="0"/>
                        <w:rPr/>
                      </w:pPr>
                      <w:r>
                        <w:rPr/>
                        <w:t>E-mail: sat@blakes.com</w:t>
                      </w:r>
                    </w:p>
                    <w:p>
                      <w:pPr>
                        <w:pStyle w:val="CommentText"/>
                        <w:spacing w:before="0" w:after="0"/>
                        <w:rPr/>
                      </w:pPr>
                      <w:r>
                        <w:rPr/>
                        <w:t>Reference: 84411/15</w:t>
                      </w:r>
                    </w:p>
                  </w:txbxContent>
                </v:textbox>
                <w10:wrap type="none"/>
              </v:rect>
            </w:pict>
          </mc:Fallback>
        </mc:AlternateContent>
      </w:r>
    </w:p>
    <w:p>
      <w:pPr>
        <w:pStyle w:val="Normal"/>
        <w:rPr>
          <w:u w:val="single"/>
        </w:rPr>
      </w:pPr>
      <w:bookmarkStart w:id="7" w:name="delivery"/>
      <w:bookmarkEnd w:id="7"/>
      <w:r>
        <w:rPr>
          <w:u w:val="single"/>
        </w:rPr>
        <w:t>VIA FACSIMILE</w:t>
      </w:r>
    </w:p>
    <w:p>
      <w:pPr>
        <w:pStyle w:val="Normal"/>
        <w:suppressAutoHyphens w:val="true"/>
        <w:rPr>
          <w:u w:val="single"/>
        </w:rPr>
      </w:pPr>
      <w:r>
        <w:rPr>
          <w:u w:val="single"/>
        </w:rPr>
      </w:r>
    </w:p>
    <w:p>
      <w:pPr>
        <w:pStyle w:val="Normal"/>
        <w:rPr/>
      </w:pPr>
      <w:r>
        <w:rPr/>
      </w:r>
    </w:p>
    <w:p>
      <w:pPr>
        <w:pStyle w:val="Normal"/>
        <w:rPr/>
      </w:pPr>
      <w:bookmarkStart w:id="8" w:name="addressee"/>
      <w:bookmarkEnd w:id="8"/>
      <w:r>
        <w:rPr/>
        <w:t>Bingham Dana LLP</w:t>
      </w:r>
    </w:p>
    <w:p>
      <w:pPr>
        <w:pStyle w:val="Normal"/>
        <w:rPr/>
      </w:pPr>
      <w:r>
        <w:rPr/>
        <w:t>One State Street</w:t>
      </w:r>
    </w:p>
    <w:p>
      <w:pPr>
        <w:pStyle w:val="Normal"/>
        <w:rPr/>
      </w:pPr>
      <w:r>
        <w:rPr/>
        <w:t>Hartford, Connecticut</w:t>
      </w:r>
    </w:p>
    <w:p>
      <w:pPr>
        <w:pStyle w:val="Normal"/>
        <w:rPr/>
      </w:pPr>
      <w:r>
        <w:rPr/>
        <w:t xml:space="preserve">USA  06103-3178 </w:t>
      </w:r>
    </w:p>
    <w:p>
      <w:pPr>
        <w:pStyle w:val="Normal"/>
        <w:rPr/>
      </w:pPr>
      <w:r>
        <w:rPr/>
      </w:r>
    </w:p>
    <w:p>
      <w:pPr>
        <w:pStyle w:val="Normal"/>
        <w:rPr>
          <w:b/>
        </w:rPr>
      </w:pPr>
      <w:r>
        <w:rPr>
          <w:b/>
        </w:rPr>
        <w:t>Attention: Harold S. Horwich</w:t>
      </w:r>
    </w:p>
    <w:p>
      <w:pPr>
        <w:pStyle w:val="Normal"/>
        <w:rPr>
          <w:b/>
        </w:rPr>
      </w:pPr>
      <w:r>
        <w:rPr>
          <w:b/>
        </w:rPr>
      </w:r>
    </w:p>
    <w:p>
      <w:pPr>
        <w:pStyle w:val="Normal"/>
        <w:rPr/>
      </w:pPr>
      <w:bookmarkStart w:id="9" w:name="salutation"/>
      <w:bookmarkEnd w:id="9"/>
      <w:r>
        <w:rPr/>
        <w:t>Dear Mr. Horwich:</w:t>
      </w:r>
    </w:p>
    <w:p>
      <w:pPr>
        <w:pStyle w:val="Normal"/>
        <w:rPr/>
      </w:pPr>
      <w:r>
        <w:rPr/>
      </w:r>
    </w:p>
    <w:p>
      <w:pPr>
        <w:pStyle w:val="Normal"/>
        <w:ind w:hanging="720" w:start="2160" w:end="0"/>
        <w:rPr/>
      </w:pPr>
      <w:bookmarkStart w:id="10" w:name="beginning"/>
      <w:bookmarkEnd w:id="10"/>
      <w:r>
        <w:rPr>
          <w:b/>
        </w:rPr>
        <w:t>Re:</w:t>
        <w:tab/>
        <w:t xml:space="preserve">Proceedings Against The CanFibre Group Limited (“CanFibre”) pursuant to Section 38 of the </w:t>
      </w:r>
      <w:r>
        <w:rPr>
          <w:b/>
          <w:i/>
        </w:rPr>
        <w:t>Bankruptcy and Insolvency Act</w:t>
      </w:r>
      <w:r>
        <w:rPr>
          <w:b/>
        </w:rPr>
        <w:t xml:space="preserve"> (the “BIA”)</w:t>
      </w:r>
    </w:p>
    <w:p>
      <w:pPr>
        <w:pStyle w:val="Normal"/>
        <w:rPr>
          <w:b/>
        </w:rPr>
      </w:pPr>
      <w:r>
        <w:rPr>
          <w:b/>
        </w:rPr>
      </w:r>
    </w:p>
    <w:p>
      <w:pPr>
        <w:pStyle w:val="BodyTextFirstIndent2"/>
        <w:rPr/>
      </w:pPr>
      <w:r>
        <w:rPr/>
        <w:t>I write to respond to your letter of December 8, 2000.  Without necessarily accepting your characterization of our client’s obligation to keep your client, The Hartford Steam Boiler Inspection and Insurance Company (“HSB”), fully informed at all times, we wish nevertheless to reassure you that Enron has no intention of withholding any information from you or the other creditors who have agreed to participate in what we have, in earlier correspondence, called the CanFibre Proceedings.  Moreover, it is Enron’s intention, through ourselves, to keep you and the other participating creditors informed as to the progress of the CanFibre Proceedings.  To this end, we attach a reporting letter addressed to all of the participating creditors (including HSB), advising them as to the present status of the CanFibre Proceedings.  We trust that this satisfies your concerns.  If you have any further questions, please do not hesitate to contact the undersigned, in writing or by telephone.</w:t>
      </w:r>
    </w:p>
    <w:p>
      <w:pPr>
        <w:pStyle w:val="Normal"/>
        <w:ind w:start="4680" w:end="0"/>
        <w:rPr/>
      </w:pPr>
      <w:r>
        <w:rPr/>
        <w:t>Very truly yours,</w:t>
      </w:r>
    </w:p>
    <w:p>
      <w:pPr>
        <w:pStyle w:val="Normal"/>
        <w:ind w:start="4680" w:end="0"/>
        <w:rPr/>
      </w:pPr>
      <w:r>
        <w:rPr/>
      </w:r>
    </w:p>
    <w:p>
      <w:pPr>
        <w:pStyle w:val="Normal"/>
        <w:ind w:start="4680" w:end="0"/>
        <w:rPr/>
      </w:pPr>
      <w:r>
        <w:rPr/>
      </w:r>
    </w:p>
    <w:p>
      <w:pPr>
        <w:pStyle w:val="Normal"/>
        <w:ind w:start="4680" w:end="0"/>
        <w:rPr/>
      </w:pPr>
      <w:r>
        <w:rPr/>
      </w:r>
    </w:p>
    <w:p>
      <w:pPr>
        <w:pStyle w:val="Normal"/>
        <w:ind w:start="4680" w:end="0"/>
        <w:rPr/>
      </w:pPr>
      <w:r>
        <w:rPr/>
        <w:t>Scott Turner</w:t>
      </w:r>
    </w:p>
    <w:p>
      <w:pPr>
        <w:pStyle w:val="Normal"/>
        <w:rPr/>
      </w:pPr>
      <w:r>
        <w:rPr/>
        <w:t>SAT/ad</w:t>
      </w:r>
    </w:p>
    <w:p>
      <w:pPr>
        <w:pStyle w:val="Normal"/>
        <w:rPr/>
      </w:pPr>
      <w:r>
        <w:rPr/>
        <w:t>Enc.</w:t>
      </w:r>
    </w:p>
    <w:tbl>
      <w:tblPr>
        <w:tblW w:w="9260" w:type="dxa"/>
        <w:jc w:val="start"/>
        <w:tblInd w:w="18" w:type="dxa"/>
        <w:tblLayout w:type="fixed"/>
        <w:tblCellMar>
          <w:top w:w="0" w:type="dxa"/>
          <w:start w:w="108" w:type="dxa"/>
          <w:bottom w:w="0" w:type="dxa"/>
          <w:end w:w="108" w:type="dxa"/>
        </w:tblCellMar>
      </w:tblPr>
      <w:tblGrid>
        <w:gridCol w:w="530"/>
        <w:gridCol w:w="8730"/>
      </w:tblGrid>
      <w:tr>
        <w:trPr>
          <w:trHeight w:val="282" w:hRule="atLeast"/>
        </w:trPr>
        <w:tc>
          <w:tcPr>
            <w:tcW w:w="530" w:type="dxa"/>
            <w:tcBorders/>
          </w:tcPr>
          <w:p>
            <w:pPr>
              <w:pStyle w:val="Normal"/>
              <w:rPr>
                <w:sz w:val="19"/>
              </w:rPr>
            </w:pPr>
            <w:r>
              <w:rPr>
                <w:sz w:val="19"/>
              </w:rPr>
              <w:t>c:</w:t>
            </w:r>
          </w:p>
        </w:tc>
        <w:tc>
          <w:tcPr>
            <w:tcW w:w="8730" w:type="dxa"/>
            <w:tcBorders/>
          </w:tcPr>
          <w:p>
            <w:pPr>
              <w:pStyle w:val="Normal"/>
              <w:rPr>
                <w:sz w:val="19"/>
              </w:rPr>
            </w:pPr>
            <w:bookmarkStart w:id="11" w:name="cc"/>
            <w:bookmarkEnd w:id="11"/>
            <w:r>
              <w:rPr>
                <w:sz w:val="19"/>
              </w:rPr>
              <w:t xml:space="preserve">Client </w:t>
            </w:r>
          </w:p>
        </w:tc>
      </w:tr>
    </w:tbl>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173" w:top="475" w:footer="432"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BCGLogo">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50244280.1</w:t>
    </w:r>
    <w:r>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50244280.1</w:t>
    </w:r>
    <w:r>
      <w:rPr/>
      <w:fldChar w:fldCharType="end"/>
    </w:r>
  </w:p>
  <w:p>
    <w:pPr>
      <w:pStyle w:val="Footer"/>
      <w:rPr/>
    </w:pPr>
    <w:r>
      <w:rPr/>
    </w:r>
  </w:p>
  <w:p>
    <w:pPr>
      <w:pStyle w:val="Normal"/>
      <w:tabs>
        <w:tab w:val="clear" w:pos="720"/>
        <w:tab w:val="left" w:pos="900" w:leader="none"/>
        <w:tab w:val="center" w:pos="5400" w:leader="none"/>
      </w:tabs>
      <w:jc w:val="center"/>
      <w:rPr>
        <w:sz w:val="16"/>
      </w:rPr>
    </w:pPr>
    <w:r>
      <w:rPr>
        <w:sz w:val="16"/>
      </w:rPr>
      <w:t>Blake, Cassels &amp; Graydon LLP is a limited liability partnership under the laws of Ontario</w:t>
    </w:r>
  </w:p>
  <w:p>
    <w:pPr>
      <w:pStyle w:val="Normal"/>
      <w:tabs>
        <w:tab w:val="clear" w:pos="720"/>
        <w:tab w:val="left" w:pos="900" w:leader="none"/>
        <w:tab w:val="center" w:pos="5400" w:leader="none"/>
      </w:tabs>
      <w:rPr>
        <w:sz w:val="16"/>
      </w:rPr>
    </w:pPr>
    <w:r>
      <w:rPr>
        <w:sz w:val="16"/>
      </w:rPr>
    </w:r>
  </w:p>
  <w:p>
    <w:pPr>
      <w:pStyle w:val="Normal"/>
      <w:tabs>
        <w:tab w:val="clear" w:pos="720"/>
        <w:tab w:val="left" w:pos="900" w:leader="none"/>
        <w:tab w:val="center" w:pos="5400" w:leader="none"/>
      </w:tabs>
      <w:jc w:val="center"/>
      <w:rPr/>
    </w:pPr>
    <w:r>
      <w:rPr>
        <w:sz w:val="16"/>
      </w:rPr>
      <w:t>Toronto</w:t>
    </w:r>
    <w:r>
      <w:rPr>
        <w:sz w:val="12"/>
      </w:rPr>
      <w:t xml:space="preserve">        </w:t>
    </w:r>
    <w:r>
      <w:rPr>
        <w:sz w:val="16"/>
      </w:rPr>
      <w:t xml:space="preserve">• </w:t>
    </w:r>
    <w:r>
      <w:rPr>
        <w:sz w:val="12"/>
      </w:rPr>
      <w:t xml:space="preserve">       </w:t>
    </w:r>
    <w:r>
      <w:rPr>
        <w:sz w:val="16"/>
      </w:rPr>
      <w:t>Ottawa</w:t>
    </w:r>
    <w:r>
      <w:rPr>
        <w:sz w:val="12"/>
      </w:rPr>
      <w:t xml:space="preserve">        </w:t>
    </w:r>
    <w:r>
      <w:rPr>
        <w:sz w:val="16"/>
      </w:rPr>
      <w:t>•</w:t>
    </w:r>
    <w:r>
      <w:rPr>
        <w:sz w:val="12"/>
      </w:rPr>
      <w:t xml:space="preserve">        </w:t>
    </w:r>
    <w:r>
      <w:rPr>
        <w:sz w:val="16"/>
      </w:rPr>
      <w:t>Montreal</w:t>
    </w:r>
    <w:r>
      <w:rPr>
        <w:sz w:val="12"/>
      </w:rPr>
      <w:t xml:space="preserve">* </w:t>
    </w:r>
    <w:r>
      <w:rPr>
        <w:sz w:val="16"/>
      </w:rPr>
      <w:t xml:space="preserve">     •</w:t>
    </w:r>
    <w:r>
      <w:rPr>
        <w:sz w:val="14"/>
      </w:rPr>
      <w:t xml:space="preserve"> </w:t>
    </w:r>
    <w:r>
      <w:rPr>
        <w:sz w:val="12"/>
      </w:rPr>
      <w:t xml:space="preserve">       </w:t>
    </w:r>
    <w:r>
      <w:rPr>
        <w:sz w:val="16"/>
      </w:rPr>
      <w:t>Quebec City</w:t>
    </w:r>
    <w:r>
      <w:rPr>
        <w:sz w:val="12"/>
      </w:rPr>
      <w:t xml:space="preserve">*        </w:t>
    </w:r>
    <w:r>
      <w:rPr>
        <w:sz w:val="16"/>
      </w:rPr>
      <w:t xml:space="preserve">• </w:t>
    </w:r>
    <w:r>
      <w:rPr>
        <w:sz w:val="12"/>
      </w:rPr>
      <w:t xml:space="preserve">       </w:t>
    </w:r>
    <w:r>
      <w:rPr>
        <w:sz w:val="16"/>
      </w:rPr>
      <w:t>Calgary      •</w:t>
    </w:r>
    <w:r>
      <w:rPr>
        <w:sz w:val="12"/>
      </w:rPr>
      <w:t xml:space="preserve">        </w:t>
    </w:r>
    <w:r>
      <w:rPr>
        <w:sz w:val="16"/>
      </w:rPr>
      <w:t>Vancouver</w:t>
    </w:r>
    <w:r>
      <w:rPr>
        <w:sz w:val="12"/>
      </w:rPr>
      <w:t xml:space="preserve">        </w:t>
    </w:r>
    <w:r>
      <w:rPr>
        <w:sz w:val="16"/>
      </w:rPr>
      <w:t xml:space="preserve">• </w:t>
    </w:r>
    <w:r>
      <w:rPr>
        <w:sz w:val="12"/>
      </w:rPr>
      <w:t xml:space="preserve">       </w:t>
    </w:r>
    <w:r>
      <w:rPr>
        <w:sz w:val="16"/>
      </w:rPr>
      <w:t>London, U.K.</w:t>
    </w:r>
    <w:r>
      <w:rPr>
        <w:sz w:val="12"/>
      </w:rPr>
      <w:t xml:space="preserve">        </w:t>
    </w:r>
    <w:r>
      <w:rPr>
        <w:sz w:val="16"/>
      </w:rPr>
      <w:t xml:space="preserve">• </w:t>
    </w:r>
    <w:r>
      <w:rPr>
        <w:sz w:val="12"/>
      </w:rPr>
      <w:t xml:space="preserve">       </w:t>
    </w:r>
    <w:r>
      <w:rPr>
        <w:sz w:val="16"/>
      </w:rPr>
      <w:t>Beijing</w:t>
    </w:r>
  </w:p>
  <w:p>
    <w:pPr>
      <w:pStyle w:val="Normal"/>
      <w:tabs>
        <w:tab w:val="clear" w:pos="720"/>
        <w:tab w:val="left" w:pos="900" w:leader="none"/>
        <w:tab w:val="center" w:pos="5400" w:leader="none"/>
      </w:tabs>
      <w:ind w:end="-36"/>
      <w:jc w:val="center"/>
      <w:rPr/>
    </w:pPr>
    <w:r>
      <w:rPr>
        <w:sz w:val="12"/>
      </w:rPr>
      <w:t>*</w:t>
    </w:r>
    <w:r>
      <w:rPr>
        <w:sz w:val="16"/>
      </w:rPr>
      <w:t xml:space="preserve">Associated firm: Lavery, de Billy    </w:t>
    </w:r>
    <w:r>
      <w:rPr>
        <w:sz w:val="12"/>
      </w:rPr>
      <w:t xml:space="preserve">  </w:t>
    </w:r>
    <w:r>
      <w:rPr>
        <w:sz w:val="16"/>
      </w:rPr>
      <w:t xml:space="preserve">  </w:t>
    </w:r>
    <w:r>
      <w:rPr>
        <w:color w:val="FFFFFF"/>
        <w:sz w:val="16"/>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r>
      <mc:AlternateContent>
        <mc:Choice Requires="wps">
          <w:drawing>
            <wp:anchor behindDoc="0" distT="0" distB="0" distL="0" distR="0" simplePos="0" locked="0" layoutInCell="1" allowOverlap="1" relativeHeight="0">
              <wp:simplePos x="0" y="0"/>
              <wp:positionH relativeFrom="page">
                <wp:posOffset>6456045</wp:posOffset>
              </wp:positionH>
              <wp:positionV relativeFrom="page">
                <wp:posOffset>1097915</wp:posOffset>
              </wp:positionV>
              <wp:extent cx="494030" cy="20955"/>
              <wp:effectExtent l="0" t="0" r="0" b="0"/>
              <wp:wrapSquare wrapText="bothSides"/>
              <wp:docPr id="4" name="Frame4"/>
              <a:graphic xmlns:a="http://schemas.openxmlformats.org/drawingml/2006/main">
                <a:graphicData uri="http://schemas.microsoft.com/office/word/2010/wordprocessingShape">
                  <wps:wsp>
                    <wps:cNvSpPr txBox="1"/>
                    <wps:spPr>
                      <a:xfrm>
                        <a:off x="0" y="0"/>
                        <a:ext cx="494030" cy="20955"/>
                      </a:xfrm>
                      <a:prstGeom prst="rect"/>
                      <a:solidFill>
                        <a:srgbClr val="FFFFFF">
                          <a:alpha val="0"/>
                        </a:srgbClr>
                      </a:solidFill>
                    </wps:spPr>
                    <wps:txbx>
                      <w:txbxContent>
                        <w:p>
                          <w:pPr>
                            <w:pStyle w:val="Head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38.9pt;height:1.65pt;mso-wrap-distance-left:0pt;mso-wrap-distance-right:0pt;mso-wrap-distance-top:0pt;mso-wrap-distance-bottom:0pt;margin-top:86.45pt;mso-position-vertical-relative:page;margin-left:508.35pt;mso-position-horizontal-relative:page">
              <v:fill opacity="0f"/>
              <v:textbox inset="0in,0in,0in,0in">
                <w:txbxContent>
                  <w:p>
                    <w:pPr>
                      <w:pStyle w:val="Head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Header"/>
      <w:rPr/>
    </w:pPr>
    <w:r>
      <w:rPr/>
    </w:r>
  </w:p>
  <w:p>
    <w:pPr>
      <w:pStyle w:val="Header"/>
      <w:rPr/>
    </w:pPr>
    <w:r>
      <w:rPr/>
    </w:r>
  </w:p>
  <w:p>
    <w:pPr>
      <w:pStyle w:val="Header"/>
      <w:rPr>
        <w:lang w:val="en-CA"/>
      </w:rPr>
    </w:pPr>
    <w:r>
      <w:rPr>
        <w:lang w:val="en-CA"/>
      </w:rPr>
    </w:r>
    <w:r>
      <mc:AlternateContent>
        <mc:Choice Requires="wps">
          <w:drawing>
            <wp:anchor behindDoc="0" distT="0" distB="0" distL="114935" distR="114935" simplePos="0" locked="0" layoutInCell="1" allowOverlap="1" relativeHeight="0">
              <wp:simplePos x="0" y="0"/>
              <wp:positionH relativeFrom="column">
                <wp:posOffset>0</wp:posOffset>
              </wp:positionH>
              <wp:positionV relativeFrom="page">
                <wp:posOffset>791845</wp:posOffset>
              </wp:positionV>
              <wp:extent cx="3749040" cy="488315"/>
              <wp:effectExtent l="0" t="0" r="0" b="0"/>
              <wp:wrapTopAndBottom/>
              <wp:docPr id="5" name="Frame5"/>
              <a:graphic xmlns:a="http://schemas.openxmlformats.org/drawingml/2006/main">
                <a:graphicData uri="http://schemas.microsoft.com/office/word/2010/wordprocessingShape">
                  <wps:wsp>
                    <wps:cNvSpPr txBox="1"/>
                    <wps:spPr>
                      <a:xfrm>
                        <a:off x="0" y="0"/>
                        <a:ext cx="3749040" cy="488315"/>
                      </a:xfrm>
                      <a:prstGeom prst="rect"/>
                      <a:solidFill>
                        <a:srgbClr val="FFFFFF"/>
                      </a:solidFill>
                    </wps:spPr>
                    <wps:txbx>
                      <w:txbxContent>
                        <w:p>
                          <w:pPr>
                            <w:pStyle w:val="Normal"/>
                            <w:rPr>
                              <w:rFonts w:ascii="BCGLogo" w:hAnsi="BCGLogo" w:cs="BCGLogo"/>
                              <w:color w:val="000000"/>
                              <w:sz w:val="70"/>
                            </w:rPr>
                          </w:pPr>
                          <w:r>
                            <w:rPr>
                              <w:rFonts w:cs="BCGLogo" w:ascii="BCGLogo" w:hAnsi="BCGLogo"/>
                              <w:color w:val="000000"/>
                              <w:sz w:val="70"/>
                            </w:rPr>
                            <w:t>blake</w:t>
                          </w:r>
                        </w:p>
                      </w:txbxContent>
                    </wps:txbx>
                    <wps:bodyPr anchor="t" lIns="635" tIns="635" rIns="635" bIns="635">
                      <a:noAutofit/>
                    </wps:bodyPr>
                  </wps:wsp>
                </a:graphicData>
              </a:graphic>
            </wp:anchor>
          </w:drawing>
        </mc:Choice>
        <mc:Fallback>
          <w:pict>
            <v:rect fillcolor="#FFFFFF" style="position:absolute;rotation:-0;width:295.2pt;height:38.45pt;mso-wrap-distance-left:9.05pt;mso-wrap-distance-right:9.05pt;mso-wrap-distance-top:0pt;mso-wrap-distance-bottom:0pt;margin-top:62.35pt;mso-position-vertical-relative:page;margin-left:0pt;mso-position-horizontal-relative:text">
              <v:textbox inset="0.000694444444444445in,0.000694444444444445in,0.000694444444444445in,0.000694444444444445in">
                <w:txbxContent>
                  <w:p>
                    <w:pPr>
                      <w:pStyle w:val="Normal"/>
                      <w:rPr>
                        <w:rFonts w:ascii="BCGLogo" w:hAnsi="BCGLogo" w:cs="BCGLogo"/>
                        <w:color w:val="000000"/>
                        <w:sz w:val="70"/>
                      </w:rPr>
                    </w:pPr>
                    <w:r>
                      <w:rPr>
                        <w:rFonts w:cs="BCGLogo" w:ascii="BCGLogo" w:hAnsi="BCGLogo"/>
                        <w:color w:val="000000"/>
                        <w:sz w:val="70"/>
                      </w:rPr>
                      <w:t>blake</w:t>
                    </w:r>
                  </w:p>
                </w:txbxContent>
              </v:textbox>
              <w10:wrap type="topAndBottom"/>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CA" w:eastAsia="zh-CN" w:bidi="hi-IN"/>
    </w:rPr>
  </w:style>
  <w:style w:type="paragraph" w:styleId="Heading1">
    <w:name w:val="heading 1"/>
    <w:basedOn w:val="Normal"/>
    <w:next w:val="BodyText"/>
    <w:qFormat/>
    <w:pPr>
      <w:keepNext w:val="true"/>
      <w:numPr>
        <w:ilvl w:val="0"/>
        <w:numId w:val="1"/>
      </w:numPr>
      <w:outlineLvl w:val="0"/>
    </w:pPr>
    <w:rPr>
      <w:b/>
    </w:rPr>
  </w:style>
  <w:style w:type="paragraph" w:styleId="Heading2">
    <w:name w:val="heading 2"/>
    <w:basedOn w:val="Normal"/>
    <w:next w:val="BodyText"/>
    <w:qFormat/>
    <w:pPr>
      <w:keepNext w:val="true"/>
      <w:numPr>
        <w:ilvl w:val="1"/>
        <w:numId w:val="1"/>
      </w:numPr>
      <w:outlineLvl w:val="1"/>
    </w:pPr>
    <w:rPr>
      <w:b/>
    </w:rPr>
  </w:style>
  <w:style w:type="paragraph" w:styleId="Heading3">
    <w:name w:val="heading 3"/>
    <w:basedOn w:val="Normal"/>
    <w:next w:val="BodyText"/>
    <w:qFormat/>
    <w:pPr>
      <w:numPr>
        <w:ilvl w:val="2"/>
        <w:numId w:val="1"/>
      </w:numPr>
      <w:outlineLvl w:val="2"/>
    </w:pPr>
    <w:rPr>
      <w:b/>
    </w:rPr>
  </w:style>
  <w:style w:type="paragraph" w:styleId="Heading4">
    <w:name w:val="heading 4"/>
    <w:basedOn w:val="Normal"/>
    <w:next w:val="BodyText"/>
    <w:qFormat/>
    <w:pPr>
      <w:numPr>
        <w:ilvl w:val="3"/>
        <w:numId w:val="1"/>
      </w:numPr>
      <w:outlineLvl w:val="3"/>
    </w:pPr>
    <w:rPr>
      <w:b/>
    </w:rPr>
  </w:style>
  <w:style w:type="paragraph" w:styleId="Heading5">
    <w:name w:val="heading 5"/>
    <w:basedOn w:val="Normal"/>
    <w:next w:val="BodyText"/>
    <w:qFormat/>
    <w:pPr>
      <w:numPr>
        <w:ilvl w:val="4"/>
        <w:numId w:val="1"/>
      </w:numPr>
      <w:outlineLvl w:val="4"/>
    </w:pPr>
    <w:rPr>
      <w:b/>
    </w:rPr>
  </w:style>
  <w:style w:type="paragraph" w:styleId="Heading6">
    <w:name w:val="heading 6"/>
    <w:basedOn w:val="Normal"/>
    <w:next w:val="BodyText"/>
    <w:qFormat/>
    <w:pPr>
      <w:numPr>
        <w:ilvl w:val="5"/>
        <w:numId w:val="1"/>
      </w:numPr>
      <w:outlineLvl w:val="5"/>
    </w:pPr>
    <w:rPr>
      <w:b/>
    </w:rPr>
  </w:style>
  <w:style w:type="paragraph" w:styleId="Heading7">
    <w:name w:val="heading 7"/>
    <w:basedOn w:val="Normal"/>
    <w:next w:val="BodyText"/>
    <w:qFormat/>
    <w:pPr>
      <w:numPr>
        <w:ilvl w:val="6"/>
        <w:numId w:val="1"/>
      </w:numPr>
      <w:outlineLvl w:val="6"/>
    </w:pPr>
    <w:rPr>
      <w:b/>
    </w:rPr>
  </w:style>
  <w:style w:type="paragraph" w:styleId="Heading8">
    <w:name w:val="heading 8"/>
    <w:basedOn w:val="Normal"/>
    <w:next w:val="BodyText"/>
    <w:qFormat/>
    <w:pPr>
      <w:numPr>
        <w:ilvl w:val="7"/>
        <w:numId w:val="1"/>
      </w:numPr>
      <w:outlineLvl w:val="7"/>
    </w:pPr>
    <w:rPr>
      <w:b/>
    </w:rPr>
  </w:style>
  <w:style w:type="paragraph" w:styleId="Heading9">
    <w:name w:val="heading 9"/>
    <w:basedOn w:val="Normal"/>
    <w:next w:val="BodyText"/>
    <w:qFormat/>
    <w:pPr>
      <w:numPr>
        <w:ilvl w:val="8"/>
        <w:numId w:val="1"/>
      </w:numPr>
      <w:outlineLvl w:val="8"/>
    </w:pPr>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pPr>
    <w:rPr>
      <w:lang w:val="en-CA"/>
    </w:rPr>
  </w:style>
  <w:style w:type="paragraph" w:styleId="List">
    <w:name w:val="List"/>
    <w:basedOn w:val="BodyText"/>
    <w:pPr/>
    <w:rPr>
      <w:rFonts w:cs="NotoSans NF"/>
    </w:rPr>
  </w:style>
  <w:style w:type="paragraph" w:styleId="Caption">
    <w:name w:val="caption"/>
    <w:basedOn w:val="BodyText"/>
    <w:next w:val="BodyText"/>
    <w:qFormat/>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lang w:val="en-CA"/>
    </w:rPr>
  </w:style>
  <w:style w:type="paragraph" w:styleId="Footer">
    <w:name w:val="footer"/>
    <w:basedOn w:val="Normal"/>
    <w:pPr/>
    <w:rPr>
      <w:sz w:val="16"/>
    </w:rPr>
  </w:style>
  <w:style w:type="paragraph" w:styleId="BlockText">
    <w:name w:val="Block Text"/>
    <w:basedOn w:val="BodyText"/>
    <w:qFormat/>
    <w:pPr>
      <w:ind w:hanging="0" w:start="1440" w:end="1440"/>
    </w:pPr>
    <w:rPr/>
  </w:style>
  <w:style w:type="paragraph" w:styleId="BodyText2">
    <w:name w:val="Body Text 2"/>
    <w:basedOn w:val="BodyText"/>
    <w:qFormat/>
    <w:pPr>
      <w:spacing w:lineRule="auto" w:line="480" w:before="0" w:after="480"/>
    </w:pPr>
    <w:rPr/>
  </w:style>
  <w:style w:type="paragraph" w:styleId="BodyText3">
    <w:name w:val="Body Text 3"/>
    <w:basedOn w:val="BodyText"/>
    <w:qFormat/>
    <w:pPr>
      <w:spacing w:before="0" w:after="160"/>
    </w:pPr>
    <w:rPr>
      <w:sz w:val="16"/>
    </w:rPr>
  </w:style>
  <w:style w:type="paragraph" w:styleId="BodyTextIndent">
    <w:name w:val="Body Text Indent"/>
    <w:basedOn w:val="BodyText"/>
    <w:pPr>
      <w:ind w:hanging="0" w:start="720" w:end="0"/>
    </w:pPr>
    <w:rPr/>
  </w:style>
  <w:style w:type="paragraph" w:styleId="BodyTextFirstIndent2">
    <w:name w:val="Body Text First Indent 2"/>
    <w:basedOn w:val="BodyText"/>
    <w:qFormat/>
    <w:pPr>
      <w:ind w:firstLine="1440" w:start="0" w:end="0"/>
      <w:jc w:val="both"/>
    </w:pPr>
    <w:rPr/>
  </w:style>
  <w:style w:type="paragraph" w:styleId="BodyTextFirstIndent">
    <w:name w:val="Body Text First Indent"/>
    <w:basedOn w:val="BodyText"/>
    <w:qFormat/>
    <w:pPr>
      <w:ind w:firstLine="720" w:start="0" w:end="0"/>
    </w:pPr>
    <w:rPr/>
  </w:style>
  <w:style w:type="paragraph" w:styleId="BodyTextIndent2">
    <w:name w:val="Body Text Indent 2"/>
    <w:basedOn w:val="BodyText"/>
    <w:qFormat/>
    <w:pPr>
      <w:ind w:hanging="0" w:start="1440" w:end="0"/>
    </w:pPr>
    <w:rPr/>
  </w:style>
  <w:style w:type="paragraph" w:styleId="BodyTextIndent3">
    <w:name w:val="Body Text Indent 3"/>
    <w:basedOn w:val="BodyText"/>
    <w:qFormat/>
    <w:pPr>
      <w:spacing w:lineRule="auto" w:line="480" w:before="0" w:after="480"/>
      <w:ind w:hanging="0" w:start="720" w:end="0"/>
    </w:pPr>
    <w:rPr/>
  </w:style>
  <w:style w:type="paragraph" w:styleId="Date">
    <w:name w:val="Date"/>
    <w:basedOn w:val="BodyText"/>
    <w:next w:val="BodyText"/>
    <w:qFormat/>
    <w:pPr/>
    <w:rPr/>
  </w:style>
  <w:style w:type="paragraph" w:styleId="Closing">
    <w:name w:val="Closing"/>
    <w:basedOn w:val="Normal"/>
    <w:qFormat/>
    <w:pPr>
      <w:ind w:hanging="0" w:start="4320" w:end="0"/>
    </w:pPr>
    <w:rPr>
      <w:lang w:val="en-CA"/>
    </w:rPr>
  </w:style>
  <w:style w:type="paragraph" w:styleId="CommentText">
    <w:name w:val="Comment Text"/>
    <w:basedOn w:val="BodyText"/>
    <w:qFormat/>
    <w:pPr/>
    <w:rPr>
      <w:sz w:val="20"/>
    </w:rPr>
  </w:style>
  <w:style w:type="paragraph" w:styleId="DocumentMap">
    <w:name w:val="Document Map"/>
    <w:basedOn w:val="Normal"/>
    <w:qFormat/>
    <w:pPr>
      <w:shd w:fill="000080" w:val="clear"/>
    </w:pPr>
    <w:rPr>
      <w:rFonts w:ascii="Tahoma" w:hAnsi="Tahoma" w:cs="Tahoma"/>
    </w:rPr>
  </w:style>
  <w:style w:type="paragraph" w:styleId="Signature">
    <w:name w:val="Signature"/>
    <w:basedOn w:val="Normal"/>
    <w:pPr>
      <w:ind w:hanging="0" w:start="4320" w:end="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2000-12-12T15:48:00Z</dcterms:created>
  <dc:creator>jaj</dc:creator>
  <dc:description/>
  <dc:language>en-CA</dc:language>
  <cp:lastModifiedBy>ape</cp:lastModifiedBy>
  <cp:lastPrinted>2000-12-13T08:17:00Z</cp:lastPrinted>
  <dcterms:modified xsi:type="dcterms:W3CDTF">2000-12-13T13:47:00Z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50244280.1</vt:lpwstr>
  </property>
</Properties>
</file>