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40"/>
        <w:jc w:val="center"/>
        <w:rPr/>
      </w:pPr>
      <w:r>
        <w:rPr/>
        <w:t>January 24, 2001</w:t>
      </w:r>
    </w:p>
    <w:p>
      <w:pPr>
        <w:pStyle w:val="Normal"/>
        <w:rPr>
          <w:b/>
          <w:i/>
          <w:i/>
        </w:rPr>
      </w:pPr>
      <w:r>
        <w:rPr>
          <w:b/>
          <w:i/>
        </w:rPr>
        <w:t>VIA ELECTRONIC MAIL</w:t>
      </w:r>
    </w:p>
    <w:p>
      <w:pPr>
        <w:pStyle w:val="Normal"/>
        <w:rPr>
          <w:b/>
          <w:i/>
          <w:i/>
        </w:rPr>
      </w:pPr>
      <w:r>
        <w:rPr>
          <w:b/>
          <w:i/>
        </w:rPr>
      </w:r>
    </w:p>
    <w:p>
      <w:pPr>
        <w:pStyle w:val="Normal"/>
        <w:rPr/>
      </w:pPr>
      <w:r>
        <w:rPr/>
        <w:t>Brian A. Glasser, Esquire</w:t>
      </w:r>
    </w:p>
    <w:p>
      <w:pPr>
        <w:pStyle w:val="Normal"/>
        <w:rPr/>
      </w:pPr>
      <w:r>
        <w:rPr/>
        <w:t>Bailey &amp; Glasser LLP</w:t>
      </w:r>
    </w:p>
    <w:p>
      <w:pPr>
        <w:pStyle w:val="Normal"/>
        <w:rPr/>
      </w:pPr>
      <w:r>
        <w:rPr/>
        <w:t>Suite 202 Laidley Tower</w:t>
      </w:r>
    </w:p>
    <w:p>
      <w:pPr>
        <w:pStyle w:val="Normal"/>
        <w:rPr/>
      </w:pPr>
      <w:r>
        <w:rPr/>
        <w:t>500 Lee Street</w:t>
      </w:r>
    </w:p>
    <w:p>
      <w:pPr>
        <w:pStyle w:val="00d"/>
        <w:spacing w:lineRule="auto" w:line="240" w:before="0" w:after="240"/>
        <w:rPr/>
      </w:pPr>
      <w:r>
        <w:rPr/>
        <w:t>Charleston, WVA  25301</w:t>
      </w:r>
    </w:p>
    <w:p>
      <w:pPr>
        <w:pStyle w:val="Normal"/>
        <w:spacing w:before="0" w:after="240"/>
        <w:rPr/>
      </w:pPr>
      <w:r>
        <w:rPr/>
        <w:t>Dear Brian:</w:t>
      </w:r>
    </w:p>
    <w:p>
      <w:pPr>
        <w:pStyle w:val="50s"/>
        <w:rPr/>
      </w:pPr>
      <w:r>
        <w:rPr/>
        <w:t>I will not be able to call you at 4:30 p.m. as something came up and I have to attend a meeting out of the office.  Please consider the following with respect to Tim's January 21st letter and give me a call to discuss:</w:t>
      </w:r>
    </w:p>
    <w:p>
      <w:pPr>
        <w:pStyle w:val="50s"/>
        <w:rPr/>
      </w:pPr>
      <w:r>
        <w:rPr/>
        <w:t>Under Article 3, Eastern's obligation to wash is dependent on ". . . a Quality Deviation which results in EACC's . . . inability to market the Dakota coal for a reasonable profit margin . . .".  That is not Eastern's current contention.  Instead, it relies on the third paragraph of Article 4 (p.7 at the top) to support its so-called rejection and right to sell the coal ". . . and pay Dakota a reduced purchase price, which price shall be negotiated by the parties based upon the fair market value . . . at the time it is sold to a third party."</w:t>
      </w:r>
    </w:p>
    <w:p>
      <w:pPr>
        <w:pStyle w:val="50s"/>
        <w:rPr/>
      </w:pPr>
      <w:r>
        <w:rPr/>
        <w:t>Remember our discussion about our argument that this paragraph was not intended to be used on a continuous basis.  Rather, it was intended for an infrequent and short (less than 5 days per the provision itself) Quality Deviation.  Also, our argument is that the price differential must reflect the impact of the Quality Deviation on market price - not just a reduced general market price, i.e. no harm, no foul.</w:t>
      </w:r>
    </w:p>
    <w:p>
      <w:pPr>
        <w:pStyle w:val="50s"/>
        <w:rPr/>
      </w:pPr>
      <w:r>
        <w:rPr/>
        <w:t>Dakota's argument is that the prior paragraph (bottom of p.6) is the applicable Eastern contractual right - the right to terminate or require a renegotiation.  Since Eastern is not using the contractual right provided, it is stuck with UCC remedies which do not permit it to reject and then accept at a price it sets.</w:t>
      </w:r>
    </w:p>
    <w:p>
      <w:pPr>
        <w:pStyle w:val="50s"/>
        <w:rPr/>
      </w:pPr>
      <w:r>
        <w:rPr/>
        <w:t>Clearly, if we are right, Eastern has acted contrary to the Agreement and to the UCC.  This, together with its other prior misconduct which we have documented, amounts to contractual breaches.  Under the UCC, Dakota can demand adequate assurances of performance - Eastern must immediately make Dakota whole since September's price reduction, and assure Dakota it will continue to pay the higher price - and, if does not do so, Dakota cancels the Agreement for material breach.  As an alternative, Dakota can ignore the right to demand assurances and go right to cancellation.</w:t>
      </w:r>
    </w:p>
    <w:p>
      <w:pPr>
        <w:pStyle w:val="50s"/>
        <w:rPr/>
      </w:pPr>
      <w:r>
        <w:rPr/>
        <w:t>In either case, Dakota gets out from under Eastern's unilateral price reduction and, if Eastern refuses to give the assurances Dakota requests, or if it cancels without such a request, Dakota can enter the market.  This strategy, to me, is the best way to counter Eastern's September strategy and bring this to a head.  Of course, it is dependent on Dakota's ability to market the coal and, from a timing standpoint, the washing issue.</w:t>
      </w:r>
    </w:p>
    <w:p>
      <w:pPr>
        <w:pStyle w:val="50s"/>
        <w:rPr/>
      </w:pPr>
      <w:r>
        <w:rPr/>
        <w:t>At the very least, as soon as our own plant is ready to go, we should consider a "redo" of the January 21st letter to reach the same result, but relying on the misuse of Article 4 and on UCC remedies (in which rejection and acceptance are inconsistent remedies).  As I read Articles 3 and 4, we cannot require them to clean the coal in these circumstances.</w:t>
      </w:r>
    </w:p>
    <w:p>
      <w:pPr>
        <w:pStyle w:val="3535"/>
        <w:rPr/>
      </w:pPr>
      <w:r>
        <w:rPr/>
      </w:r>
    </w:p>
    <w:p>
      <w:pPr>
        <w:pStyle w:val="Normal"/>
        <w:rPr/>
      </w:pPr>
      <w:r>
        <w:rPr/>
        <w:t>BAA/pam</w:t>
      </w:r>
    </w:p>
    <w:p>
      <w:pPr>
        <w:pStyle w:val="Normal"/>
        <w:rPr/>
      </w:pPr>
      <w:r>
        <w:rPr/>
      </w:r>
    </w:p>
    <w:p>
      <w:pPr>
        <w:pStyle w:val="Normal"/>
        <w:rPr/>
      </w:pPr>
      <w:r>
        <w:rPr/>
        <w:t>cc:</w:t>
        <w:tab/>
        <w:t>Richard Sanders</w:t>
      </w:r>
    </w:p>
    <w:sectPr>
      <w:headerReference w:type="default" r:id="rId2"/>
      <w:headerReference w:type="first" r:id="rId3"/>
      <w:footerReference w:type="default" r:id="rId4"/>
      <w:footerReference w:type="first" r:id="rId5"/>
      <w:type w:val="nextPage"/>
      <w:pgSz w:w="12240" w:h="15840"/>
      <w:pgMar w:left="1800" w:right="1440" w:gutter="0" w:header="2160" w:top="32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t>January 24, 2001</w:t>
    </w:r>
  </w:p>
  <w:p>
    <w:pPr>
      <w:pStyle w:val="Normal"/>
      <w:rPr/>
    </w:pPr>
    <w:r>
      <w:rPr/>
      <w:t xml:space="preserve">Page -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pPr>
      <w:pStyle w:val="Normal"/>
      <w:rPr>
        <w:rStyle w:val="PageNumber"/>
      </w:rPr>
    </w:pPr>
    <w:r>
      <w:rPr/>
    </w:r>
  </w:p>
  <w:p>
    <w:pPr>
      <w:pStyle w:val="Normal"/>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16" w:type="dxa"/>
      <w:jc w:val="start"/>
      <w:tblInd w:w="0" w:type="dxa"/>
      <w:tblLayout w:type="fixed"/>
      <w:tblCellMar>
        <w:top w:w="0" w:type="dxa"/>
        <w:start w:w="108" w:type="dxa"/>
        <w:bottom w:w="0" w:type="dxa"/>
        <w:end w:w="108" w:type="dxa"/>
      </w:tblCellMar>
    </w:tblPr>
    <w:tblGrid>
      <w:gridCol w:w="9216"/>
    </w:tblGrid>
    <w:tr>
      <w:trPr/>
      <w:tc>
        <w:tcPr>
          <w:tcW w:w="9216" w:type="dxa"/>
          <w:tcBorders/>
        </w:tcPr>
        <w:p>
          <w:pPr>
            <w:pStyle w:val="Header"/>
            <w:rPr>
              <w:b/>
              <w:sz w:val="18"/>
            </w:rPr>
          </w:pPr>
          <w:r>
            <w:rPr>
              <w:b/>
              <w:sz w:val="18"/>
            </w:rPr>
            <w:t>Bruce A. Americus</w:t>
          </w:r>
        </w:p>
        <w:p>
          <w:pPr>
            <w:pStyle w:val="Header"/>
            <w:rPr>
              <w:sz w:val="18"/>
            </w:rPr>
          </w:pPr>
          <w:r>
            <w:rPr>
              <w:sz w:val="18"/>
            </w:rPr>
            <w:t>(412) 562-8885</w:t>
          </w:r>
        </w:p>
        <w:p>
          <w:pPr>
            <w:pStyle w:val="Header"/>
            <w:rPr>
              <w:sz w:val="18"/>
            </w:rPr>
          </w:pPr>
          <w:r>
            <w:rPr>
              <w:sz w:val="18"/>
            </w:rPr>
            <w:t>americusba@bipc.com</w:t>
          </w:r>
        </w:p>
      </w:tc>
    </w:tr>
  </w:tbl>
  <w:p>
    <w:pPr>
      <w:pStyle w:val="Header"/>
      <w:spacing w:before="0" w:after="60"/>
      <w:rPr>
        <w:sz w:val="16"/>
      </w:rPr>
    </w:pPr>
    <w:r>
      <w:rPr>
        <w:sz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0"/>
        </w:tabs>
        <w:ind w:start="0" w:hanging="0"/>
      </w:pPr>
    </w:lvl>
    <w:lvl w:ilvl="1">
      <w:start w:val="1"/>
      <w:pStyle w:val="Heading2"/>
      <w:numFmt w:val="upperLetter"/>
      <w:lvlText w:val="%2."/>
      <w:lvlJc w:val="start"/>
      <w:pPr>
        <w:tabs>
          <w:tab w:val="num" w:pos="720"/>
        </w:tabs>
        <w:ind w:start="720" w:hanging="720"/>
      </w:pPr>
    </w:lvl>
    <w:lvl w:ilvl="2">
      <w:start w:val="1"/>
      <w:pStyle w:val="Heading3"/>
      <w:numFmt w:val="decimal"/>
      <w:lvlText w:val="%3."/>
      <w:lvlJc w:val="start"/>
      <w:pPr>
        <w:tabs>
          <w:tab w:val="num" w:pos="720"/>
        </w:tabs>
        <w:ind w:start="1440" w:hanging="720"/>
      </w:pPr>
    </w:lvl>
    <w:lvl w:ilvl="3">
      <w:start w:val="1"/>
      <w:pStyle w:val="Heading4"/>
      <w:numFmt w:val="lowerLetter"/>
      <w:lvlText w:val="%4."/>
      <w:lvlJc w:val="start"/>
      <w:pPr>
        <w:tabs>
          <w:tab w:val="num" w:pos="720"/>
        </w:tabs>
        <w:ind w:start="2160" w:hanging="720"/>
      </w:pPr>
    </w:lvl>
    <w:lvl w:ilvl="4">
      <w:start w:val="1"/>
      <w:pStyle w:val="Heading5"/>
      <w:numFmt w:val="decimal"/>
      <w:lvlText w:val="(%5)"/>
      <w:lvlJc w:val="start"/>
      <w:pPr>
        <w:tabs>
          <w:tab w:val="num" w:pos="720"/>
        </w:tabs>
        <w:ind w:start="2880" w:hanging="720"/>
      </w:pPr>
    </w:lvl>
    <w:lvl w:ilvl="5">
      <w:start w:val="1"/>
      <w:pStyle w:val="Heading6"/>
      <w:numFmt w:val="lowerLetter"/>
      <w:lvlText w:val="(%6)"/>
      <w:lvlJc w:val="start"/>
      <w:pPr>
        <w:tabs>
          <w:tab w:val="num" w:pos="720"/>
        </w:tabs>
        <w:ind w:start="3600" w:hanging="720"/>
      </w:pPr>
    </w:lvl>
    <w:lvl w:ilvl="6">
      <w:start w:val="1"/>
      <w:pStyle w:val="Heading7"/>
      <w:numFmt w:val="lowerRoman"/>
      <w:lvlText w:val="(%7)"/>
      <w:lvlJc w:val="start"/>
      <w:pPr>
        <w:tabs>
          <w:tab w:val="num" w:pos="720"/>
        </w:tabs>
        <w:ind w:start="4320" w:hanging="720"/>
      </w:pPr>
    </w:lvl>
    <w:lvl w:ilvl="7">
      <w:start w:val="1"/>
      <w:pStyle w:val="Heading8"/>
      <w:numFmt w:val="lowerLetter"/>
      <w:lvlText w:val="(%8)"/>
      <w:lvlJc w:val="start"/>
      <w:pPr>
        <w:tabs>
          <w:tab w:val="num" w:pos="720"/>
        </w:tabs>
        <w:ind w:start="5040" w:hanging="720"/>
      </w:pPr>
    </w:lvl>
    <w:lvl w:ilvl="8">
      <w:start w:val="1"/>
      <w:pStyle w:val="Heading9"/>
      <w:numFmt w:val="lowerRoman"/>
      <w:lvlText w:val="(%9)"/>
      <w:lvlJc w:val="start"/>
      <w:pPr>
        <w:tabs>
          <w:tab w:val="num" w:pos="720"/>
        </w:tabs>
        <w:ind w:start="5760" w:hanging="720"/>
      </w:pPr>
    </w:lvl>
  </w:abstractNum>
  <w:num w:numId="1">
    <w:abstractNumId w:val="1"/>
  </w:num>
</w:numbering>
</file>

<file path=word/settings.xml><?xml version="1.0" encoding="utf-8"?>
<w:settings xmlns:w="http://schemas.openxmlformats.org/wordprocessingml/2006/main">
  <w:zoom w:percent="84"/>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240"/>
      <w:jc w:val="center"/>
      <w:outlineLvl w:val="0"/>
    </w:pPr>
    <w:rPr>
      <w:caps/>
      <w:kern w:val="2"/>
    </w:rPr>
  </w:style>
  <w:style w:type="paragraph" w:styleId="Heading2">
    <w:name w:val="heading 2"/>
    <w:basedOn w:val="Normal"/>
    <w:next w:val="Normal"/>
    <w:qFormat/>
    <w:pPr>
      <w:numPr>
        <w:ilvl w:val="1"/>
        <w:numId w:val="1"/>
      </w:numPr>
      <w:spacing w:before="0" w:after="240"/>
      <w:outlineLvl w:val="1"/>
    </w:pPr>
    <w:rPr/>
  </w:style>
  <w:style w:type="paragraph" w:styleId="Heading3">
    <w:name w:val="heading 3"/>
    <w:basedOn w:val="Normal"/>
    <w:next w:val="Normal"/>
    <w:qFormat/>
    <w:pPr>
      <w:keepNext w:val="true"/>
      <w:numPr>
        <w:ilvl w:val="2"/>
        <w:numId w:val="1"/>
      </w:numPr>
      <w:spacing w:before="0" w:after="240"/>
      <w:outlineLvl w:val="2"/>
    </w:pPr>
    <w:rPr>
      <w:kern w:val="2"/>
    </w:rPr>
  </w:style>
  <w:style w:type="paragraph" w:styleId="Heading4">
    <w:name w:val="heading 4"/>
    <w:basedOn w:val="Normal"/>
    <w:next w:val="Normal"/>
    <w:qFormat/>
    <w:pPr>
      <w:keepNext w:val="true"/>
      <w:numPr>
        <w:ilvl w:val="3"/>
        <w:numId w:val="1"/>
      </w:numPr>
      <w:spacing w:before="0" w:after="240"/>
      <w:outlineLvl w:val="3"/>
    </w:pPr>
    <w:rPr/>
  </w:style>
  <w:style w:type="paragraph" w:styleId="Heading5">
    <w:name w:val="heading 5"/>
    <w:basedOn w:val="Normal"/>
    <w:next w:val="Normal"/>
    <w:qFormat/>
    <w:pPr>
      <w:keepNext w:val="true"/>
      <w:numPr>
        <w:ilvl w:val="4"/>
        <w:numId w:val="1"/>
      </w:numPr>
      <w:spacing w:before="0" w:after="240"/>
      <w:outlineLvl w:val="4"/>
    </w:pPr>
    <w:rPr>
      <w:kern w:val="2"/>
    </w:rPr>
  </w:style>
  <w:style w:type="paragraph" w:styleId="Heading6">
    <w:name w:val="heading 6"/>
    <w:basedOn w:val="Normal"/>
    <w:next w:val="Normal"/>
    <w:qFormat/>
    <w:pPr>
      <w:keepNext w:val="true"/>
      <w:numPr>
        <w:ilvl w:val="5"/>
        <w:numId w:val="1"/>
      </w:numPr>
      <w:spacing w:before="0" w:after="240"/>
      <w:outlineLvl w:val="5"/>
    </w:pPr>
    <w:rPr/>
  </w:style>
  <w:style w:type="paragraph" w:styleId="Heading7">
    <w:name w:val="heading 7"/>
    <w:basedOn w:val="Normal"/>
    <w:next w:val="Normal"/>
    <w:qFormat/>
    <w:pPr>
      <w:keepNext w:val="true"/>
      <w:numPr>
        <w:ilvl w:val="6"/>
        <w:numId w:val="1"/>
      </w:numPr>
      <w:spacing w:before="0" w:after="240"/>
      <w:outlineLvl w:val="6"/>
    </w:pPr>
    <w:rPr>
      <w:kern w:val="2"/>
    </w:rPr>
  </w:style>
  <w:style w:type="paragraph" w:styleId="Heading8">
    <w:name w:val="heading 8"/>
    <w:basedOn w:val="Normal"/>
    <w:next w:val="Normal"/>
    <w:qFormat/>
    <w:pPr>
      <w:keepNext w:val="true"/>
      <w:numPr>
        <w:ilvl w:val="7"/>
        <w:numId w:val="1"/>
      </w:numPr>
      <w:spacing w:before="0" w:after="240"/>
      <w:outlineLvl w:val="7"/>
    </w:pPr>
    <w:rPr/>
  </w:style>
  <w:style w:type="paragraph" w:styleId="Heading9">
    <w:name w:val="heading 9"/>
    <w:basedOn w:val="Normal"/>
    <w:next w:val="Normal"/>
    <w:qFormat/>
    <w:pPr>
      <w:keepNext w:val="true"/>
      <w:numPr>
        <w:ilvl w:val="8"/>
        <w:numId w:val="1"/>
      </w:numPr>
      <w:spacing w:before="0" w:after="240"/>
      <w:outlineLvl w:val="8"/>
    </w:pPr>
    <w:rPr/>
  </w:style>
  <w:style w:type="character" w:styleId="DefaultParagraphFont">
    <w:name w:val="Default Paragraph Font"/>
    <w:qFormat/>
    <w:rPr/>
  </w:style>
  <w:style w:type="character" w:styleId="Underline">
    <w:name w:val="Underline"/>
    <w:basedOn w:val="DefaultParagraphFont"/>
    <w:qFormat/>
    <w:rPr>
      <w:u w:val="single"/>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50d">
    <w:name w:val=".5/0d"/>
    <w:basedOn w:val="Normal"/>
    <w:qFormat/>
    <w:pPr>
      <w:spacing w:lineRule="auto" w:line="480"/>
      <w:ind w:firstLine="720" w:start="0" w:end="0"/>
    </w:pPr>
    <w:rPr/>
  </w:style>
  <w:style w:type="paragraph" w:styleId="50s">
    <w:name w:val=".5/0s"/>
    <w:basedOn w:val="Normal"/>
    <w:qFormat/>
    <w:pPr>
      <w:spacing w:before="0" w:after="240"/>
      <w:ind w:firstLine="720" w:start="0" w:end="0"/>
    </w:pPr>
    <w:rPr/>
  </w:style>
  <w:style w:type="paragraph" w:styleId="05s">
    <w:name w:val="0/.5s"/>
    <w:basedOn w:val="Normal"/>
    <w:qFormat/>
    <w:pPr>
      <w:spacing w:before="0" w:after="240"/>
      <w:ind w:hanging="720" w:start="720" w:end="0"/>
    </w:pPr>
    <w:rPr/>
  </w:style>
  <w:style w:type="paragraph" w:styleId="00d">
    <w:name w:val="0/0d"/>
    <w:basedOn w:val="Normal"/>
    <w:qFormat/>
    <w:pPr>
      <w:spacing w:lineRule="auto" w:line="480"/>
    </w:pPr>
    <w:rPr/>
  </w:style>
  <w:style w:type="paragraph" w:styleId="00s">
    <w:name w:val="0/0s"/>
    <w:basedOn w:val="Normal"/>
    <w:qFormat/>
    <w:pPr>
      <w:spacing w:before="0" w:after="240"/>
    </w:pPr>
    <w:rPr/>
  </w:style>
  <w:style w:type="paragraph" w:styleId="10d">
    <w:name w:val="1/0d"/>
    <w:basedOn w:val="Normal"/>
    <w:qFormat/>
    <w:pPr>
      <w:spacing w:lineRule="auto" w:line="480"/>
      <w:ind w:firstLine="1440" w:start="0" w:end="0"/>
    </w:pPr>
    <w:rPr/>
  </w:style>
  <w:style w:type="paragraph" w:styleId="10s">
    <w:name w:val="1/0s"/>
    <w:basedOn w:val="Normal"/>
    <w:qFormat/>
    <w:pPr>
      <w:spacing w:before="0" w:after="240"/>
      <w:ind w:firstLine="1440" w:start="0" w:end="0"/>
    </w:pPr>
    <w:rPr/>
  </w:style>
  <w:style w:type="paragraph" w:styleId="33sigline">
    <w:name w:val="3/3sigline"/>
    <w:basedOn w:val="Normal"/>
    <w:qFormat/>
    <w:pPr>
      <w:keepNext w:val="true"/>
      <w:tabs>
        <w:tab w:val="clear" w:pos="720"/>
        <w:tab w:val="right" w:pos="8640" w:leader="none"/>
      </w:tabs>
      <w:ind w:hanging="0" w:start="4320" w:end="0"/>
    </w:pPr>
    <w:rPr>
      <w:u w:val="single"/>
    </w:rPr>
  </w:style>
  <w:style w:type="paragraph" w:styleId="33signature">
    <w:name w:val="3/3signature"/>
    <w:basedOn w:val="Normal"/>
    <w:qFormat/>
    <w:pPr>
      <w:ind w:hanging="0" w:start="4320" w:end="0"/>
    </w:pPr>
    <w:rPr/>
  </w:style>
  <w:style w:type="paragraph" w:styleId="CENTER">
    <w:name w:val="CENTER"/>
    <w:basedOn w:val="Normal"/>
    <w:next w:val="50s"/>
    <w:qFormat/>
    <w:pPr>
      <w:keepNext w:val="true"/>
      <w:spacing w:before="0" w:after="240"/>
      <w:jc w:val="center"/>
    </w:pPr>
    <w:rPr>
      <w:b/>
      <w:caps/>
      <w:u w:val="single"/>
    </w:rPr>
  </w:style>
  <w:style w:type="paragraph" w:styleId="draft">
    <w:name w:val="draft"/>
    <w:basedOn w:val="Normal"/>
    <w:qFormat/>
    <w:pPr>
      <w:pBdr>
        <w:top w:val="single" w:sz="6" w:space="1" w:color="FF0000" w:shadow="1"/>
        <w:left w:val="single" w:sz="6" w:space="1" w:color="FF0000" w:shadow="1"/>
        <w:bottom w:val="single" w:sz="6" w:space="1" w:color="FF0000" w:shadow="1"/>
        <w:right w:val="single" w:sz="6" w:space="1" w:color="FF0000" w:shadow="1"/>
      </w:pBdr>
      <w:ind w:hanging="0" w:start="57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notary">
    <w:name w:val="notary"/>
    <w:basedOn w:val="Normal"/>
    <w:qFormat/>
    <w:pPr>
      <w:tabs>
        <w:tab w:val="clear" w:pos="720"/>
        <w:tab w:val="center" w:pos="1800" w:leader="none"/>
        <w:tab w:val="center" w:pos="6480" w:leader="none"/>
      </w:tabs>
    </w:pPr>
    <w:rPr/>
  </w:style>
  <w:style w:type="paragraph" w:styleId="TOC1">
    <w:name w:val="toc 1"/>
    <w:basedOn w:val="Normal"/>
    <w:next w:val="Normal"/>
    <w:pPr>
      <w:tabs>
        <w:tab w:val="left" w:pos="720" w:leader="none"/>
        <w:tab w:val="right" w:pos="9360" w:leader="dot"/>
      </w:tabs>
      <w:spacing w:before="360" w:after="0"/>
      <w:ind w:hanging="720" w:start="720" w:end="0"/>
    </w:pPr>
    <w:rPr>
      <w:caps/>
    </w:rPr>
  </w:style>
  <w:style w:type="paragraph" w:styleId="TOC2">
    <w:name w:val="toc 2"/>
    <w:basedOn w:val="Normal"/>
    <w:next w:val="Normal"/>
    <w:pPr>
      <w:tabs>
        <w:tab w:val="clear" w:pos="720"/>
        <w:tab w:val="left" w:pos="1440" w:leader="none"/>
        <w:tab w:val="right" w:pos="9360" w:leader="dot"/>
      </w:tabs>
      <w:ind w:hanging="720" w:start="1440" w:end="0"/>
    </w:pPr>
    <w:rPr/>
  </w:style>
  <w:style w:type="paragraph" w:styleId="TOC3">
    <w:name w:val="toc 3"/>
    <w:basedOn w:val="Normal"/>
    <w:next w:val="Normal"/>
    <w:pPr>
      <w:tabs>
        <w:tab w:val="clear" w:pos="720"/>
        <w:tab w:val="left" w:pos="2160" w:leader="none"/>
        <w:tab w:val="right" w:pos="9360" w:leader="dot"/>
      </w:tabs>
      <w:ind w:hanging="720" w:start="2160" w:end="0"/>
    </w:pPr>
    <w:rPr/>
  </w:style>
  <w:style w:type="paragraph" w:styleId="TOC4">
    <w:name w:val="toc 4"/>
    <w:basedOn w:val="Normal"/>
    <w:next w:val="Normal"/>
    <w:pPr>
      <w:tabs>
        <w:tab w:val="clear" w:pos="720"/>
        <w:tab w:val="left" w:pos="2880" w:leader="none"/>
        <w:tab w:val="right" w:pos="9360" w:leader="dot"/>
      </w:tabs>
      <w:ind w:hanging="720" w:start="2880" w:end="0"/>
    </w:pPr>
    <w:rPr/>
  </w:style>
  <w:style w:type="paragraph" w:styleId="TOC5">
    <w:name w:val="toc 5"/>
    <w:basedOn w:val="Normal"/>
    <w:next w:val="Normal"/>
    <w:pPr>
      <w:tabs>
        <w:tab w:val="clear" w:pos="720"/>
        <w:tab w:val="left" w:pos="3600" w:leader="none"/>
        <w:tab w:val="right" w:pos="9360" w:leader="dot"/>
      </w:tabs>
      <w:ind w:hanging="720" w:start="3600" w:end="0"/>
    </w:pPr>
    <w:rPr/>
  </w:style>
  <w:style w:type="paragraph" w:styleId="TOC6">
    <w:name w:val="toc 6"/>
    <w:basedOn w:val="Normal"/>
    <w:next w:val="Normal"/>
    <w:pPr>
      <w:tabs>
        <w:tab w:val="clear" w:pos="720"/>
        <w:tab w:val="left" w:pos="4320" w:leader="none"/>
        <w:tab w:val="right" w:pos="9360" w:leader="dot"/>
      </w:tabs>
      <w:ind w:hanging="720" w:start="4320" w:end="0"/>
    </w:pPr>
    <w:rPr/>
  </w:style>
  <w:style w:type="paragraph" w:styleId="TOC7">
    <w:name w:val="toc 7"/>
    <w:basedOn w:val="Normal"/>
    <w:next w:val="Normal"/>
    <w:pPr>
      <w:tabs>
        <w:tab w:val="clear" w:pos="720"/>
        <w:tab w:val="left" w:pos="5040" w:leader="none"/>
        <w:tab w:val="right" w:pos="9360" w:leader="dot"/>
      </w:tabs>
      <w:ind w:hanging="720" w:start="5040" w:end="0"/>
    </w:pPr>
    <w:rPr/>
  </w:style>
  <w:style w:type="paragraph" w:styleId="TOC8">
    <w:name w:val="toc 8"/>
    <w:basedOn w:val="Normal"/>
    <w:next w:val="Normal"/>
    <w:pPr>
      <w:tabs>
        <w:tab w:val="clear" w:pos="720"/>
        <w:tab w:val="left" w:pos="5760" w:leader="none"/>
        <w:tab w:val="right" w:pos="9360" w:leader="dot"/>
      </w:tabs>
      <w:ind w:hanging="720" w:start="5760" w:end="0"/>
    </w:pPr>
    <w:rPr/>
  </w:style>
  <w:style w:type="paragraph" w:styleId="TOC9">
    <w:name w:val="toc 9"/>
    <w:basedOn w:val="Normal"/>
    <w:next w:val="Normal"/>
    <w:pPr>
      <w:tabs>
        <w:tab w:val="clear" w:pos="720"/>
        <w:tab w:val="left" w:pos="6480" w:leader="none"/>
        <w:tab w:val="right" w:pos="9360" w:leader="dot"/>
      </w:tabs>
      <w:ind w:hanging="720" w:start="6480" w:end="0"/>
    </w:pPr>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EndnoteText">
    <w:name w:val="endnote text"/>
    <w:basedOn w:val="Normal"/>
    <w:pPr/>
    <w:rPr>
      <w:rFonts w:ascii="Courier New" w:hAnsi="Courier New" w:cs="Courier New"/>
    </w:rPr>
  </w:style>
  <w:style w:type="paragraph" w:styleId="re">
    <w:name w:val="re"/>
    <w:basedOn w:val="Normal"/>
    <w:qFormat/>
    <w:pPr>
      <w:spacing w:before="0" w:after="240"/>
      <w:ind w:hanging="720" w:start="1440" w:end="0"/>
    </w:pPr>
    <w:rPr>
      <w:u w:val="single"/>
    </w:rPr>
  </w:style>
  <w:style w:type="paragraph" w:styleId="3535">
    <w:name w:val="3.5/3.5"/>
    <w:basedOn w:val="Normal"/>
    <w:qFormat/>
    <w:pPr>
      <w:keepLines/>
      <w:spacing w:lineRule="exact" w:line="240"/>
      <w:ind w:hanging="0" w:start="504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2001-01-24T16:49:00Z</dcterms:created>
  <dc:creator>AMERICU1</dc:creator>
  <dc:description/>
  <dc:language>en-CA</dc:language>
  <cp:lastModifiedBy>Systems Department</cp:lastModifiedBy>
  <cp:lastPrinted>2001-01-24T15:04:00Z</cp:lastPrinted>
  <dcterms:modified xsi:type="dcterms:W3CDTF">2001-01-24T17:46:00Z</dcterms:modified>
  <cp:revision>5</cp:revision>
  <dc:subject>LITDOCS</dc:subject>
  <dc:title>Letter to Sanders and Glasser regarding Tim's January 21st letter</dc:title>
</cp:coreProperties>
</file>