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March 21, 2002</w:t>
      </w:r>
    </w:p>
    <w:p>
      <w:pPr>
        <w:pStyle w:val="Normal"/>
        <w:rPr>
          <w:rFonts w:ascii="Arial" w:hAnsi="Arial" w:cs="Arial"/>
          <w:sz w:val="22"/>
        </w:rPr>
      </w:pPr>
      <w:r>
        <w:rPr>
          <w:rFonts w:cs="Arial" w:ascii="Arial" w:hAnsi="Arial"/>
          <w:sz w:val="22"/>
        </w:rPr>
      </w:r>
    </w:p>
    <w:p>
      <w:pPr>
        <w:pStyle w:val="Normal"/>
        <w:rPr>
          <w:rFonts w:ascii="Arial" w:hAnsi="Arial" w:cs="Arial"/>
          <w:b/>
          <w:bCs/>
          <w:sz w:val="22"/>
          <w:u w:val="single"/>
        </w:rPr>
      </w:pPr>
      <w:r>
        <w:rPr>
          <w:rFonts w:cs="Arial" w:ascii="Arial" w:hAnsi="Arial"/>
          <w:b/>
          <w:bCs/>
          <w:sz w:val="22"/>
          <w:u w:val="single"/>
        </w:rPr>
        <w:t>VIA FACSIMILE (__Pages)</w:t>
      </w:r>
      <w:r>
        <w:rPr>
          <w:rFonts w:cs="Arial" w:ascii="Arial" w:hAnsi="Arial"/>
          <w:b/>
          <w:bCs/>
          <w:sz w:val="22"/>
        </w:rPr>
        <w:t xml:space="preserve"> – (214) 875-9085</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sz w:val="22"/>
        </w:rPr>
      </w:pPr>
      <w:r>
        <w:rPr>
          <w:rFonts w:cs="Arial" w:ascii="Arial" w:hAnsi="Arial"/>
          <w:sz w:val="22"/>
        </w:rPr>
        <w:t>Mr. Ken Fowler</w:t>
      </w:r>
    </w:p>
    <w:p>
      <w:pPr>
        <w:pStyle w:val="Normal"/>
        <w:rPr>
          <w:rFonts w:ascii="Arial" w:hAnsi="Arial" w:cs="Arial"/>
          <w:sz w:val="22"/>
        </w:rPr>
      </w:pPr>
      <w:r>
        <w:rPr>
          <w:rFonts w:cs="Arial" w:ascii="Arial" w:hAnsi="Arial"/>
          <w:sz w:val="22"/>
        </w:rPr>
        <w:t>Credit Analyst</w:t>
      </w:r>
    </w:p>
    <w:p>
      <w:pPr>
        <w:pStyle w:val="Normal"/>
        <w:rPr>
          <w:rFonts w:ascii="Arial" w:hAnsi="Arial" w:cs="Arial"/>
          <w:sz w:val="22"/>
        </w:rPr>
      </w:pPr>
      <w:r>
        <w:rPr>
          <w:rFonts w:cs="Arial" w:ascii="Arial" w:hAnsi="Arial"/>
          <w:sz w:val="22"/>
        </w:rPr>
        <w:t>TXU Energy Trading Company</w:t>
      </w:r>
    </w:p>
    <w:p>
      <w:pPr>
        <w:pStyle w:val="Normal"/>
        <w:autoSpaceDE w:val="false"/>
        <w:rPr>
          <w:rFonts w:ascii="Arial" w:hAnsi="Arial" w:cs="Arial"/>
          <w:sz w:val="22"/>
        </w:rPr>
      </w:pPr>
      <w:r>
        <w:rPr>
          <w:rFonts w:cs="Arial" w:ascii="Arial" w:hAnsi="Arial"/>
          <w:sz w:val="22"/>
        </w:rPr>
        <w:t>1717 Main Street, Suite 2000</w:t>
      </w:r>
    </w:p>
    <w:p>
      <w:pPr>
        <w:pStyle w:val="Normal"/>
        <w:autoSpaceDE w:val="false"/>
        <w:rPr>
          <w:rFonts w:ascii="Arial" w:hAnsi="Arial" w:cs="Arial"/>
          <w:sz w:val="22"/>
        </w:rPr>
      </w:pPr>
      <w:r>
        <w:rPr>
          <w:rFonts w:cs="Arial" w:ascii="Arial" w:hAnsi="Arial"/>
          <w:sz w:val="22"/>
        </w:rPr>
        <w:t>Dallas, TX 75201</w:t>
      </w:r>
    </w:p>
    <w:p>
      <w:pPr>
        <w:pStyle w:val="Normal"/>
        <w:rPr>
          <w:rFonts w:ascii="Arial" w:hAnsi="Arial" w:cs="Arial"/>
          <w:sz w:val="22"/>
        </w:rPr>
      </w:pPr>
      <w:r>
        <w:rPr>
          <w:rFonts w:cs="Arial" w:ascii="Arial" w:hAnsi="Arial"/>
          <w:sz w:val="22"/>
        </w:rPr>
      </w:r>
    </w:p>
    <w:p>
      <w:pPr>
        <w:pStyle w:val="Heading1"/>
        <w:ind w:hanging="0" w:start="0"/>
        <w:rPr>
          <w:rFonts w:ascii="Arial" w:hAnsi="Arial" w:cs="Arial"/>
          <w:i/>
          <w:i/>
          <w:iCs/>
          <w:sz w:val="22"/>
          <w:u w:val="none"/>
        </w:rPr>
      </w:pPr>
      <w:r>
        <w:rPr>
          <w:rFonts w:cs="Arial" w:ascii="Arial" w:hAnsi="Arial"/>
          <w:i/>
          <w:iCs/>
          <w:sz w:val="22"/>
          <w:u w:val="none"/>
        </w:rPr>
        <w:t>Re:  February 2002 Gas Sales to TXU Energy Trading Company</w:t>
      </w:r>
    </w:p>
    <w:p>
      <w:pPr>
        <w:pStyle w:val="Normal"/>
        <w:rPr>
          <w:rFonts w:ascii="Arial" w:hAnsi="Arial" w:cs="Arial"/>
          <w:i/>
          <w:i/>
          <w:iCs/>
          <w:sz w:val="22"/>
          <w:u w:val="none"/>
        </w:rPr>
      </w:pPr>
      <w:r>
        <w:rPr>
          <w:rFonts w:cs="Arial" w:ascii="Arial" w:hAnsi="Arial"/>
          <w:i/>
          <w:iCs/>
          <w:sz w:val="22"/>
          <w:u w:val="none"/>
        </w:rPr>
      </w:r>
    </w:p>
    <w:p>
      <w:pPr>
        <w:pStyle w:val="Normal"/>
        <w:rPr>
          <w:rFonts w:ascii="Arial" w:hAnsi="Arial" w:cs="Arial"/>
          <w:sz w:val="22"/>
        </w:rPr>
      </w:pPr>
      <w:r>
        <w:rPr>
          <w:rFonts w:cs="Arial" w:ascii="Arial" w:hAnsi="Arial"/>
          <w:sz w:val="22"/>
        </w:rPr>
        <w:t>Dear Mr. Fowler: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During February 2002, Joe Parks of Enron North America Corp. (“ENA”) acted as agent for Ponderosa Pine Energy Partners (“PPEP”), Ltd, a Texas limited partnership that owns an independent power plant in Cleburne, Texas.  In this capacity, Mr. Parks negotiated, on behalf of PPEP, the sale of 1,090,000 MMBtu of natural gas with Lyn Handlin of TXU Energy Trading (“TXU”).  The average price for all volumes was $2.123 per MMBtu.  The total cost of the volumes purchased by TXU during February 2002 totals $2,314,552.90; an invoice for this amount is attached.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It has been brought to my attention that there has been some confusion regarding payment for the activity described above.  By writing this letter, it is my hope to clarify our understanding until a contract by and between TXU and PPEP is in place that will alleviate any future questions or concerns.  As the gas sale negotiated by Mr. Parks of ENA was done on behalf of PPEP, payment for the attached invoice should be wired by TXU directly to the following account:</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rPr>
          <w:rFonts w:cs="Arial" w:ascii="Arial" w:hAnsi="Arial"/>
          <w:b/>
          <w:bCs/>
          <w:sz w:val="22"/>
        </w:rPr>
        <w:t>Ponderosa Pine Energy Partners, Ltd.</w:t>
      </w:r>
    </w:p>
    <w:p>
      <w:pPr>
        <w:pStyle w:val="Normal"/>
        <w:rPr>
          <w:rFonts w:ascii="Arial" w:hAnsi="Arial" w:cs="Arial"/>
          <w:b/>
          <w:bCs/>
          <w:sz w:val="22"/>
        </w:rPr>
      </w:pPr>
      <w:r>
        <w:rPr>
          <w:rFonts w:cs="Arial" w:ascii="Arial" w:hAnsi="Arial"/>
          <w:b/>
          <w:bCs/>
          <w:sz w:val="22"/>
        </w:rPr>
        <w:tab/>
        <w:t>c/o JP Morgan Chase Bank</w:t>
      </w:r>
    </w:p>
    <w:p>
      <w:pPr>
        <w:pStyle w:val="Normal"/>
        <w:rPr>
          <w:rFonts w:ascii="Arial" w:hAnsi="Arial" w:cs="Arial"/>
          <w:b/>
          <w:bCs/>
          <w:sz w:val="22"/>
        </w:rPr>
      </w:pPr>
      <w:r>
        <w:rPr>
          <w:rFonts w:cs="Arial" w:ascii="Arial" w:hAnsi="Arial"/>
          <w:b/>
          <w:bCs/>
          <w:sz w:val="22"/>
        </w:rPr>
        <w:tab/>
        <w:t>Account No. 507895711</w:t>
      </w:r>
    </w:p>
    <w:p>
      <w:pPr>
        <w:pStyle w:val="Normal"/>
        <w:rPr>
          <w:rFonts w:ascii="Arial" w:hAnsi="Arial" w:cs="Arial"/>
          <w:b/>
          <w:bCs/>
          <w:sz w:val="22"/>
        </w:rPr>
      </w:pPr>
      <w:r>
        <w:rPr>
          <w:rFonts w:cs="Arial" w:ascii="Arial" w:hAnsi="Arial"/>
          <w:b/>
          <w:bCs/>
          <w:sz w:val="22"/>
        </w:rPr>
        <w:tab/>
        <w:t>Further Credit No. 121863.8</w:t>
      </w:r>
    </w:p>
    <w:p>
      <w:pPr>
        <w:pStyle w:val="Normal"/>
        <w:rPr>
          <w:rFonts w:ascii="Arial" w:hAnsi="Arial" w:cs="Arial"/>
          <w:b/>
          <w:bCs/>
          <w:sz w:val="22"/>
        </w:rPr>
      </w:pPr>
      <w:r>
        <w:rPr>
          <w:rFonts w:cs="Arial" w:ascii="Arial" w:hAnsi="Arial"/>
          <w:b/>
          <w:bCs/>
          <w:sz w:val="22"/>
        </w:rPr>
        <w:tab/>
        <w:t>ABA 021000021</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Thank you for your prompt attention to this matter.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Garrick (Rick) Hill</w:t>
      </w:r>
    </w:p>
    <w:p>
      <w:pPr>
        <w:pStyle w:val="Normal"/>
        <w:rPr>
          <w:rFonts w:ascii="Arial" w:hAnsi="Arial" w:cs="Arial"/>
          <w:sz w:val="22"/>
        </w:rPr>
      </w:pPr>
      <w:r>
        <w:rPr>
          <w:rFonts w:cs="Arial" w:ascii="Arial" w:hAnsi="Arial"/>
          <w:sz w:val="22"/>
        </w:rPr>
        <w:t>Director, Generation Investments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CC:</w:t>
        <w:tab/>
        <w:t>Joe Parks, ENA</w:t>
      </w:r>
    </w:p>
    <w:p>
      <w:pPr>
        <w:pStyle w:val="Normal"/>
        <w:rPr>
          <w:rFonts w:ascii="Arial" w:hAnsi="Arial" w:cs="Arial"/>
          <w:sz w:val="22"/>
        </w:rPr>
      </w:pPr>
      <w:r>
        <w:rPr>
          <w:rFonts w:cs="Arial" w:ascii="Arial" w:hAnsi="Arial"/>
          <w:sz w:val="22"/>
        </w:rPr>
        <w:tab/>
        <w:t>Michael Mazowita, Ponderosa Pine Energy, LLC</w:t>
      </w:r>
    </w:p>
    <w:p>
      <w:pPr>
        <w:pStyle w:val="Normal"/>
        <w:rPr>
          <w:rFonts w:ascii="Arial" w:hAnsi="Arial" w:cs="Arial"/>
          <w:sz w:val="22"/>
        </w:rPr>
      </w:pPr>
      <w:r>
        <w:rPr>
          <w:rFonts w:cs="Arial" w:ascii="Arial" w:hAnsi="Arial"/>
          <w:sz w:val="22"/>
        </w:rPr>
        <w:tab/>
        <w:t>Theresa Vos, ENA</w:t>
      </w:r>
    </w:p>
    <w:p>
      <w:pPr>
        <w:pStyle w:val="Normal"/>
        <w:rPr>
          <w:rFonts w:ascii="Arial" w:hAnsi="Arial" w:cs="Arial"/>
          <w:sz w:val="22"/>
        </w:rPr>
      </w:pPr>
      <w:r>
        <w:rPr>
          <w:rFonts w:cs="Arial" w:ascii="Arial" w:hAnsi="Arial"/>
          <w:sz w:val="22"/>
        </w:rPr>
        <w:tab/>
        <w:t>Laurie K. Ellis, ENA</w:t>
      </w:r>
    </w:p>
    <w:p>
      <w:pPr>
        <w:pStyle w:val="Normal"/>
        <w:rPr>
          <w:rFonts w:ascii="Arial" w:hAnsi="Arial" w:cs="Arial"/>
          <w:sz w:val="22"/>
        </w:rPr>
      </w:pPr>
      <w:r>
        <w:rPr>
          <w:rFonts w:cs="Arial" w:ascii="Arial" w:hAnsi="Arial"/>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2002-03-20T12:49:00Z</dcterms:created>
  <dc:creator>Michael Mazowita</dc:creator>
  <dc:description/>
  <dc:language>en-CA</dc:language>
  <cp:lastModifiedBy>Rick Hill</cp:lastModifiedBy>
  <cp:lastPrinted>2002-03-20T15:24:00Z</cp:lastPrinted>
  <dcterms:modified xsi:type="dcterms:W3CDTF">2002-03-20T21:33:00Z</dcterms:modified>
  <cp:revision>3</cp:revision>
  <dc:subject/>
  <dc:title>Re: February 2002 Gas Sales to TXU Trading Company</dc:title>
</cp:coreProperties>
</file>