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t>Larry Drivon</w:t>
      </w:r>
    </w:p>
    <w:p>
      <w:pPr>
        <w:pStyle w:val="Normal"/>
        <w:jc w:val="both"/>
        <w:rPr/>
      </w:pPr>
      <w:r>
        <w:rPr/>
        <w:t>Special Counsel</w:t>
      </w:r>
    </w:p>
    <w:p>
      <w:pPr>
        <w:pStyle w:val="Normal"/>
        <w:jc w:val="both"/>
        <w:rPr/>
      </w:pPr>
      <w:r>
        <w:rPr/>
        <w:t>Senate Select Committee to Investigate Price</w:t>
      </w:r>
    </w:p>
    <w:p>
      <w:pPr>
        <w:pStyle w:val="Normal"/>
        <w:jc w:val="both"/>
        <w:rPr/>
      </w:pPr>
      <w:r>
        <w:rPr/>
        <w:t>Manipulation of the Wholesale Energy Market</w:t>
      </w:r>
    </w:p>
    <w:p>
      <w:pPr>
        <w:pStyle w:val="Normal"/>
        <w:jc w:val="both"/>
        <w:rPr/>
      </w:pPr>
      <w:r>
        <w:rPr/>
        <w:t>1020 N. Street</w:t>
      </w:r>
    </w:p>
    <w:p>
      <w:pPr>
        <w:pStyle w:val="Normal"/>
        <w:jc w:val="both"/>
        <w:rPr/>
      </w:pPr>
      <w:r>
        <w:rPr/>
        <w:t>Legislative Office Building</w:t>
      </w:r>
    </w:p>
    <w:p>
      <w:pPr>
        <w:pStyle w:val="Normal"/>
        <w:jc w:val="both"/>
        <w:rPr/>
      </w:pPr>
      <w:r>
        <w:rPr/>
        <w:t>Room 258</w:t>
      </w:r>
    </w:p>
    <w:p>
      <w:pPr>
        <w:pStyle w:val="Normal"/>
        <w:jc w:val="both"/>
        <w:rPr/>
      </w:pPr>
      <w:r>
        <w:rPr/>
        <w:t>Sacramento, California  95825</w:t>
      </w:r>
    </w:p>
    <w:p>
      <w:pPr>
        <w:pStyle w:val="Normal"/>
        <w:jc w:val="both"/>
        <w:rPr/>
      </w:pPr>
      <w:r>
        <w:rPr/>
      </w:r>
    </w:p>
    <w:p>
      <w:pPr>
        <w:pStyle w:val="Normal"/>
        <w:tabs>
          <w:tab w:val="clear" w:pos="720"/>
          <w:tab w:val="left" w:pos="-1440" w:leader="none"/>
        </w:tabs>
        <w:ind w:hanging="720" w:start="1440" w:end="0"/>
        <w:jc w:val="both"/>
        <w:rPr/>
      </w:pPr>
      <w:r>
        <w:rPr/>
        <w:t>Re:</w:t>
        <w:tab/>
      </w:r>
      <w:r>
        <w:rPr>
          <w:u w:val="single"/>
        </w:rPr>
        <w:t>Letter Dated April 23, 2001 from Senator Joseph L. Dunn to Richard Sanders</w:t>
      </w:r>
    </w:p>
    <w:p>
      <w:pPr>
        <w:pStyle w:val="Normal"/>
        <w:jc w:val="both"/>
        <w:rPr/>
      </w:pPr>
      <w:r>
        <w:rPr/>
      </w:r>
    </w:p>
    <w:p>
      <w:pPr>
        <w:pStyle w:val="Normal"/>
        <w:jc w:val="both"/>
        <w:rPr/>
      </w:pPr>
      <w:r>
        <w:rPr/>
        <w:t>Dear Larry:</w:t>
      </w:r>
    </w:p>
    <w:p>
      <w:pPr>
        <w:pStyle w:val="Normal"/>
        <w:jc w:val="both"/>
        <w:rPr/>
      </w:pPr>
      <w:r>
        <w:rPr/>
      </w:r>
    </w:p>
    <w:p>
      <w:pPr>
        <w:pStyle w:val="Normal"/>
        <w:ind w:firstLine="1440" w:end="0"/>
        <w:jc w:val="both"/>
        <w:rPr/>
      </w:pPr>
      <w:r>
        <w:rPr/>
        <w:t>I am writing to follow-up on our conversation earlier this week regarding the April 23, 2001 letter from Senator Dunn’s office requesting that Enron Wholesale Services produce documents to the Senate Select Committee (“Document Request”).  I assume you are referring to Enron’s wholesale electricity marketing operations that cover California (“Enron”).  You asked for Enron’s preliminary response as to how Enron intended to respond to the Document Request and agreed to extend the time for this preliminary response to Wednesday, May 2, 2001 at 12:00 p.m. PDT.</w:t>
      </w:r>
    </w:p>
    <w:p>
      <w:pPr>
        <w:pStyle w:val="Normal"/>
        <w:ind w:firstLine="720" w:end="0"/>
        <w:jc w:val="both"/>
        <w:rPr/>
      </w:pPr>
      <w:r>
        <w:rPr/>
      </w:r>
    </w:p>
    <w:p>
      <w:pPr>
        <w:pStyle w:val="Normal"/>
        <w:ind w:firstLine="1440" w:end="0"/>
        <w:jc w:val="both"/>
        <w:rPr/>
      </w:pPr>
      <w:r>
        <w:rPr/>
        <w:t>As you know, the Committee’s document request is extremely broad, with 111 separate categories of documents requested.  Our first observation is that the total scope of what the committee has asked for cannot be easily quantified other than to say that it is a monumental task.  For example, some requests have specific time frames (e.g. Request Nos. 5, 11, 18, 20-23,  25-26, 42-43, and 86-87), while others do not.  The requests with specific time frames already seek enormous quantities of information.  Enron has not been able to ascertain the scope of the requests that are unlimited in time.  Enron cannot reliably estimate how long it will take to ascertain how much material is called for by all of these requests, but it is enormous.</w:t>
      </w:r>
    </w:p>
    <w:p>
      <w:pPr>
        <w:pStyle w:val="Normal"/>
        <w:ind w:firstLine="720" w:end="0"/>
        <w:jc w:val="both"/>
        <w:rPr/>
      </w:pPr>
      <w:r>
        <w:rPr/>
      </w:r>
    </w:p>
    <w:p>
      <w:pPr>
        <w:sectPr>
          <w:headerReference w:type="default" r:id="rId2"/>
          <w:type w:val="nextPage"/>
          <w:pgSz w:w="12240" w:h="15840"/>
          <w:pgMar w:left="1440" w:right="1440" w:gutter="0" w:header="806" w:top="2693" w:footer="0" w:bottom="1440"/>
          <w:pgNumType w:fmt="decimal"/>
          <w:formProt w:val="false"/>
          <w:textDirection w:val="lrTb"/>
          <w:docGrid w:type="default" w:linePitch="360" w:charSpace="0"/>
        </w:sectPr>
        <w:pStyle w:val="Normal"/>
        <w:ind w:firstLine="1440" w:end="0"/>
        <w:jc w:val="both"/>
        <w:rPr/>
      </w:pPr>
      <w:r>
        <w:rPr/>
        <w:t xml:space="preserve">Second, some of the requests seem to be directed to generator costs and related operational information which do not appear to be relevant to Enron generally.  Enron does have an indirect financial relationship with Las Vegas Co-Generation and has a subsidiary, Portland General Electric, that provides utility service to customers in the Portland, Oregon area.  Otherwise, Enron does not have generating capacity in the relevant region.  Some requests are also based upon an erroneous premise – namely that an entity that serves as a scheduling coordinator, “controls” the </w:t>
      </w:r>
    </w:p>
    <w:p>
      <w:pPr>
        <w:pStyle w:val="Normal"/>
        <w:jc w:val="both"/>
        <w:rPr/>
      </w:pPr>
      <w:r>
        <w:rPr/>
        <w:t xml:space="preserve">generation from that facility.  Enron provides scheduling services to some entities, but does not control generation at those facilities. </w:t>
      </w:r>
    </w:p>
    <w:p>
      <w:pPr>
        <w:pStyle w:val="Normal"/>
        <w:jc w:val="both"/>
        <w:rPr/>
      </w:pPr>
      <w:r>
        <w:rPr/>
      </w:r>
    </w:p>
    <w:p>
      <w:pPr>
        <w:pStyle w:val="Normal"/>
        <w:ind w:firstLine="1440" w:end="0"/>
        <w:jc w:val="both"/>
        <w:rPr/>
      </w:pPr>
      <w:r>
        <w:rPr/>
        <w:t xml:space="preserve">Finally, much of the information requested is commercially sensitive and constitutes trade secrets or confidential information regarding Enron and its affiliates.  The April 23, 2001 letter does not state that any measures are being undertaken or proposed to ensure that any confidential or proprietary information provided to the Committee will be maintained in total confidence.  For example, some requests ask Enron to accurately reveal its forward positions or current contract positions in various markets without any assurance of confidentiality. </w:t>
      </w:r>
    </w:p>
    <w:p>
      <w:pPr>
        <w:pStyle w:val="Normal"/>
        <w:jc w:val="both"/>
        <w:rPr/>
      </w:pPr>
      <w:r>
        <w:rPr/>
      </w:r>
    </w:p>
    <w:p>
      <w:pPr>
        <w:pStyle w:val="Normal"/>
        <w:ind w:firstLine="1440" w:end="0"/>
        <w:jc w:val="both"/>
        <w:rPr/>
      </w:pPr>
      <w:r>
        <w:rPr/>
        <w:t>In order to formulate a more specific response to the Committee’s document request, Enron needs to know what measures the Committee proposes to prevent public disclosure of Enron’s confidential information.  Enron is extremely concerned that its trade secrets and proprietary business information not be publicly disclosed or provided to competitors.  As you know, there has recently been a leak to the press of confidential bid information by the California Independent System Operator.  Enron needs to be sure that adequate measures are in place to ensure that information it provides to the Committee in confidence is not similarly disclosed inadvertently.</w:t>
      </w:r>
    </w:p>
    <w:p>
      <w:pPr>
        <w:pStyle w:val="Normal"/>
        <w:ind w:firstLine="720" w:end="0"/>
        <w:jc w:val="both"/>
        <w:rPr/>
      </w:pPr>
      <w:r>
        <w:rPr/>
      </w:r>
    </w:p>
    <w:p>
      <w:pPr>
        <w:pStyle w:val="Normal"/>
        <w:ind w:firstLine="1440" w:end="0"/>
        <w:jc w:val="both"/>
        <w:rPr/>
      </w:pPr>
      <w:r>
        <w:rPr/>
        <w:t xml:space="preserve">Enron submits this response to the Document Request without waiving any of its rights or any objections it may have including, but not limited to, procedure, jurisdiction, relevance, scope and burden and reserves the right to supplement this response or take any other action necessary to protect Enron’s rights.  </w:t>
      </w:r>
    </w:p>
    <w:p>
      <w:pPr>
        <w:pStyle w:val="Normal"/>
        <w:jc w:val="both"/>
        <w:rPr/>
      </w:pPr>
      <w:r>
        <w:rPr/>
      </w:r>
    </w:p>
    <w:p>
      <w:pPr>
        <w:pStyle w:val="Normal"/>
        <w:ind w:firstLine="1440" w:end="0"/>
        <w:jc w:val="both"/>
        <w:rPr/>
      </w:pPr>
      <w:r>
        <w:rPr/>
        <w:t>I want to assure you that Enron is committed to working cooperatively with the Committee.  I will be available this week to discuss these matters with you.</w:t>
      </w:r>
    </w:p>
    <w:p>
      <w:pPr>
        <w:pStyle w:val="Normal"/>
        <w:jc w:val="both"/>
        <w:rPr/>
      </w:pPr>
      <w:r>
        <w:rPr/>
      </w:r>
    </w:p>
    <w:p>
      <w:pPr>
        <w:pStyle w:val="Normal"/>
        <w:jc w:val="both"/>
        <w:rPr/>
      </w:pPr>
      <w:r>
        <w:rPr/>
      </w:r>
    </w:p>
    <w:p>
      <w:pPr>
        <w:pStyle w:val="Normal"/>
        <w:jc w:val="both"/>
        <w:rPr/>
      </w:pPr>
      <w:r>
        <w:rPr/>
        <w:t>Very Truly Yours,</w:t>
      </w:r>
    </w:p>
    <w:p>
      <w:pPr>
        <w:pStyle w:val="Normal"/>
        <w:jc w:val="both"/>
        <w:rPr/>
      </w:pPr>
      <w:r>
        <w:rPr/>
      </w:r>
    </w:p>
    <w:p>
      <w:pPr>
        <w:pStyle w:val="Normal"/>
        <w:jc w:val="both"/>
        <w:rPr/>
      </w:pPr>
      <w:r>
        <w:rPr/>
        <w:t>BROBECK, PHLEGER &amp; HARRISON LLP</w:t>
      </w:r>
    </w:p>
    <w:p>
      <w:pPr>
        <w:pStyle w:val="Normal"/>
        <w:jc w:val="both"/>
        <w:rPr/>
      </w:pPr>
      <w:r>
        <w:rPr/>
      </w:r>
    </w:p>
    <w:p>
      <w:pPr>
        <w:pStyle w:val="Normal"/>
        <w:jc w:val="both"/>
        <w:rPr/>
      </w:pPr>
      <w:r>
        <w:rPr/>
      </w:r>
    </w:p>
    <w:p>
      <w:pPr>
        <w:pStyle w:val="Normal"/>
        <w:jc w:val="both"/>
        <w:rPr/>
      </w:pPr>
      <w:r>
        <w:rPr/>
      </w:r>
    </w:p>
    <w:p>
      <w:pPr>
        <w:pStyle w:val="Normal"/>
        <w:jc w:val="both"/>
        <w:rPr/>
      </w:pPr>
      <w:r>
        <w:rPr/>
        <w:t>Gary S. Fergus</w:t>
      </w:r>
    </w:p>
    <w:sectPr>
      <w:headerReference w:type="default" r:id="rId3"/>
      <w:headerReference w:type="first" r:id="rId4"/>
      <w:type w:val="nextPage"/>
      <w:pgSz w:w="12240" w:h="15840"/>
      <w:pgMar w:left="1440" w:right="1440" w:gutter="0" w:header="806" w:top="2693"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rHeight w:val="1200" w:hRule="atLeast"/>
      </w:trPr>
      <w:tc>
        <w:tcPr>
          <w:tcW w:w="4788" w:type="dxa"/>
          <w:tcBorders/>
        </w:tcPr>
        <w:p>
          <w:pPr>
            <w:pStyle w:val="Header"/>
            <w:snapToGrid w:val="false"/>
            <w:rPr>
              <w:rStyle w:val="Letterhead"/>
            </w:rPr>
          </w:pPr>
          <w:r>
            <w:rPr/>
          </w:r>
        </w:p>
      </w:tc>
      <w:tc>
        <w:tcPr>
          <w:tcW w:w="4788" w:type="dxa"/>
          <w:tcBorders/>
        </w:tcPr>
        <w:p>
          <w:pPr>
            <w:pStyle w:val="Header"/>
            <w:snapToGrid w:val="false"/>
            <w:rPr>
              <w:rStyle w:val="Letterhead"/>
            </w:rPr>
          </w:pPr>
          <w:r>
            <w:rPr/>
          </w:r>
        </w:p>
      </w:tc>
    </w:tr>
    <w:tr>
      <w:trPr>
        <w:trHeight w:val="71" w:hRule="atLeast"/>
      </w:trPr>
      <w:tc>
        <w:tcPr>
          <w:tcW w:w="4788" w:type="dxa"/>
          <w:tcBorders/>
        </w:tcPr>
        <w:p>
          <w:pPr>
            <w:pStyle w:val="Header"/>
            <w:rPr/>
          </w:pPr>
          <w:r>
            <w:rPr>
              <w:rStyle w:val="ltrDate"/>
            </w:rPr>
            <w:t>May 2, 2001</w:t>
          </w:r>
        </w:p>
      </w:tc>
      <w:tc>
        <w:tcPr>
          <w:tcW w:w="4788" w:type="dxa"/>
          <w:vMerge w:val="restart"/>
          <w:tcBorders/>
        </w:tcPr>
        <w:p>
          <w:pPr>
            <w:pStyle w:val="Header"/>
            <w:spacing w:lineRule="exact" w:line="240"/>
            <w:jc w:val="end"/>
            <w:rPr/>
          </w:pPr>
          <w:r>
            <w:rPr>
              <w:rStyle w:val="Letterhead"/>
            </w:rPr>
            <w:t xml:space="preserve">Brobeck, Phleger &amp; Harrison </w:t>
          </w:r>
          <w:r>
            <w:rPr>
              <w:rStyle w:val="Letterhead"/>
              <w:smallCaps/>
            </w:rPr>
            <w:t>llp</w:t>
          </w:r>
          <w:r>
            <w:rPr>
              <w:rStyle w:val="Letterhead"/>
            </w:rPr>
            <w:br/>
            <w:t>One Market, Spear Street Tower</w:t>
            <w:br/>
            <w:t>San Francisco, California  94105</w:t>
            <w:br/>
          </w:r>
          <w:r>
            <w:rPr>
              <w:rStyle w:val="Letterhead"/>
              <w:smallCaps/>
            </w:rPr>
            <w:t>direct</w:t>
          </w:r>
          <w:r>
            <w:rPr>
              <w:rStyle w:val="Letterhead"/>
            </w:rPr>
            <w:t xml:space="preserve">   415.442.1284</w:t>
            <w:br/>
            <w:t xml:space="preserve">    </w:t>
          </w:r>
          <w:r>
            <w:rPr>
              <w:rStyle w:val="Letterhead"/>
              <w:smallCaps/>
            </w:rPr>
            <w:t>fax</w:t>
          </w:r>
          <w:r>
            <w:rPr>
              <w:rStyle w:val="Letterhead"/>
            </w:rPr>
            <w:t xml:space="preserve">   415.979.2616</w:t>
            <w:br/>
            <w:t>gfergus@brobeck.com</w:t>
            <w:br/>
            <w:t xml:space="preserve"> www.brobeck.com</w:t>
          </w:r>
        </w:p>
      </w:tc>
    </w:tr>
    <w:tr>
      <w:trPr>
        <w:trHeight w:val="69" w:hRule="atLeast"/>
      </w:trPr>
      <w:tc>
        <w:tcPr>
          <w:tcW w:w="4788" w:type="dxa"/>
          <w:tcBorders/>
        </w:tcPr>
        <w:p>
          <w:pPr>
            <w:pStyle w:val="Header"/>
            <w:snapToGrid w:val="false"/>
            <w:rPr>
              <w:rStyle w:val="Letterhead"/>
            </w:rPr>
          </w:pPr>
          <w:r>
            <w:rPr/>
          </w:r>
        </w:p>
      </w:tc>
      <w:tc>
        <w:tcPr>
          <w:tcW w:w="4788" w:type="dxa"/>
          <w:vMerge w:val="continue"/>
          <w:tcBorders/>
        </w:tcPr>
        <w:p>
          <w:pPr>
            <w:pStyle w:val="Header"/>
            <w:snapToGrid w:val="false"/>
            <w:rPr>
              <w:rStyle w:val="Letterhead"/>
            </w:rPr>
          </w:pPr>
          <w:r>
            <w:rPr/>
          </w:r>
        </w:p>
      </w:tc>
    </w:tr>
    <w:tr>
      <w:trPr>
        <w:trHeight w:val="69" w:hRule="atLeast"/>
      </w:trPr>
      <w:tc>
        <w:tcPr>
          <w:tcW w:w="4788" w:type="dxa"/>
          <w:tcBorders/>
        </w:tcPr>
        <w:p>
          <w:pPr>
            <w:pStyle w:val="Header"/>
            <w:rPr/>
          </w:pPr>
          <w:bookmarkStart w:id="0" w:name="Via"/>
          <w:bookmarkEnd w:id="0"/>
          <w:r>
            <w:rPr>
              <w:rStyle w:val="ltrStamp"/>
              <w:caps/>
            </w:rPr>
            <w:t>VIA FACSIMILE</w:t>
          </w:r>
        </w:p>
      </w:tc>
      <w:tc>
        <w:tcPr>
          <w:tcW w:w="4788" w:type="dxa"/>
          <w:vMerge w:val="continue"/>
          <w:tcBorders/>
        </w:tcPr>
        <w:p>
          <w:pPr>
            <w:pStyle w:val="Header"/>
            <w:snapToGrid w:val="false"/>
            <w:rPr>
              <w:rStyle w:val="Letterhead"/>
              <w:caps/>
            </w:rPr>
          </w:pPr>
          <w:r>
            <w:rPr/>
          </w:r>
        </w:p>
      </w:tc>
    </w:tr>
    <w:tr>
      <w:trPr>
        <w:trHeight w:val="69" w:hRule="atLeast"/>
      </w:trPr>
      <w:tc>
        <w:tcPr>
          <w:tcW w:w="4788" w:type="dxa"/>
          <w:tcBorders/>
        </w:tcPr>
        <w:p>
          <w:pPr>
            <w:pStyle w:val="Header"/>
            <w:snapToGrid w:val="false"/>
            <w:rPr>
              <w:rStyle w:val="ltrStamp"/>
            </w:rPr>
          </w:pPr>
          <w:r>
            <w:rPr/>
          </w:r>
          <w:bookmarkStart w:id="1" w:name="Stamps"/>
          <w:bookmarkStart w:id="2" w:name="Stamps"/>
          <w:bookmarkEnd w:id="2"/>
        </w:p>
      </w:tc>
      <w:tc>
        <w:tcPr>
          <w:tcW w:w="4788" w:type="dxa"/>
          <w:vMerge w:val="continue"/>
          <w:tcBorders/>
        </w:tcPr>
        <w:p>
          <w:pPr>
            <w:pStyle w:val="Header"/>
            <w:snapToGrid w:val="false"/>
            <w:rPr>
              <w:rStyle w:val="Letterhead"/>
            </w:rPr>
          </w:pPr>
          <w:r>
            <w:rPr/>
          </w:r>
        </w:p>
      </w:tc>
    </w:tr>
  </w:tbl>
  <w:p>
    <w:pPr>
      <w:pStyle w:val="Header"/>
      <w:rPr>
        <w:rStyle w:val="Letterhea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bookmarkStart w:id="3" w:name="HeaderDate"/>
    <w:r>
      <w:rPr/>
      <w:t>May 2, 2001</w:t>
    </w:r>
    <w:bookmarkEnd w:id="3"/>
  </w:p>
  <w:p>
    <w:pPr>
      <w:pStyle w:val="Header"/>
      <w:rPr/>
    </w:pPr>
    <w:r>
      <w:rPr/>
      <w:t xml:space="preserve">Page </w:t>
    </w:r>
    <w:r>
      <w:rPr/>
      <w:fldChar w:fldCharType="begin"/>
    </w:r>
    <w:r>
      <w:rPr/>
      <w:instrText xml:space="preserve"> PAGE </w:instrText>
    </w:r>
    <w:r>
      <w:rPr/>
      <w:fldChar w:fldCharType="separate"/>
    </w:r>
    <w:r>
      <w:rPr/>
      <w:t>2</w:t>
    </w:r>
    <w:r>
      <w:rPr/>
      <w:fldChar w:fldCharType="end"/>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character" w:styleId="Letterhead">
    <w:name w:val="Letterhead"/>
    <w:basedOn w:val="DefaultParagraphFont"/>
    <w:qFormat/>
    <w:rPr>
      <w:rFonts w:ascii="Arial" w:hAnsi="Arial" w:cs="Arial"/>
      <w:spacing w:val="0"/>
      <w:sz w:val="16"/>
    </w:rPr>
  </w:style>
  <w:style w:type="character" w:styleId="ltrDate">
    <w:name w:val="ltrDate"/>
    <w:basedOn w:val="Letterhead"/>
    <w:qFormat/>
    <w:rPr>
      <w:rFonts w:ascii="Times New Roman" w:hAnsi="Times New Roman" w:cs="Times New Roman"/>
      <w:sz w:val="24"/>
    </w:rPr>
  </w:style>
  <w:style w:type="character" w:styleId="ltrStamp">
    <w:name w:val="ltrStamp"/>
    <w:basedOn w:val="Letterhead"/>
    <w:qFormat/>
    <w:rPr>
      <w:rFonts w:ascii="Times New Roman" w:hAnsi="Times New Roman" w:cs="Times New Roman"/>
      <w:b/>
      <w:sz w:val="24"/>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2001-05-02T15:28:00Z</dcterms:created>
  <dc:creator>GSF</dc:creator>
  <dc:description/>
  <dc:language>en-CA</dc:language>
  <cp:lastModifiedBy>Systems Engineer</cp:lastModifiedBy>
  <cp:lastPrinted>2001-05-02T12:01:00Z</cp:lastPrinted>
  <dcterms:modified xsi:type="dcterms:W3CDTF">2001-05-02T16:32:00Z</dcterms:modified>
  <cp:revision>5</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ressee(s)">
    <vt:lpwstr>   </vt:lpwstr>
  </property>
  <property fmtid="{D5CDD505-2E9C-101B-9397-08002B2CF9AE}" pid="3" name="Caption Bank Document">
    <vt:lpwstr>   </vt:lpwstr>
  </property>
  <property fmtid="{D5CDD505-2E9C-101B-9397-08002B2CF9AE}" pid="4" name="Cause No.">
    <vt:lpwstr>   </vt:lpwstr>
  </property>
  <property fmtid="{D5CDD505-2E9C-101B-9397-08002B2CF9AE}" pid="5" name="Client Name">
    <vt:lpwstr>Enron North America Corp.</vt:lpwstr>
  </property>
  <property fmtid="{D5CDD505-2E9C-101B-9397-08002B2CF9AE}" pid="6" name="Client No.">
    <vt:lpwstr>031710</vt:lpwstr>
  </property>
  <property fmtid="{D5CDD505-2E9C-101B-9397-08002B2CF9AE}" pid="7" name="Date">
    <vt:lpwstr>   </vt:lpwstr>
  </property>
  <property fmtid="{D5CDD505-2E9C-101B-9397-08002B2CF9AE}" pid="8" name="Doc Name">
    <vt:lpwstr>   </vt:lpwstr>
  </property>
  <property fmtid="{D5CDD505-2E9C-101B-9397-08002B2CF9AE}" pid="9" name="Doc No.">
    <vt:lpwstr>SFRLIB1\GSF\5502404.02(39X_K02!.DOC)</vt:lpwstr>
  </property>
  <property fmtid="{D5CDD505-2E9C-101B-9397-08002B2CF9AE}" pid="10" name="Doc Path">
    <vt:lpwstr>D:\Enron\senate</vt:lpwstr>
  </property>
  <property fmtid="{D5CDD505-2E9C-101B-9397-08002B2CF9AE}" pid="11" name="DocumentType">
    <vt:lpwstr>   </vt:lpwstr>
  </property>
  <property fmtid="{D5CDD505-2E9C-101B-9397-08002B2CF9AE}" pid="12" name="FooterStore">
    <vt:lpwstr>   </vt:lpwstr>
  </property>
  <property fmtid="{D5CDD505-2E9C-101B-9397-08002B2CF9AE}" pid="13" name="Local Office">
    <vt:lpwstr>   </vt:lpwstr>
  </property>
  <property fmtid="{D5CDD505-2E9C-101B-9397-08002B2CF9AE}" pid="14" name="Matter Name">
    <vt:lpwstr>California Electricity Litigation</vt:lpwstr>
  </property>
  <property fmtid="{D5CDD505-2E9C-101B-9397-08002B2CF9AE}" pid="15" name="Matter No.">
    <vt:lpwstr>0003</vt:lpwstr>
  </property>
  <property fmtid="{D5CDD505-2E9C-101B-9397-08002B2CF9AE}" pid="16" name="Orig Doc Path">
    <vt:lpwstr>   </vt:lpwstr>
  </property>
  <property fmtid="{D5CDD505-2E9C-101B-9397-08002B2CF9AE}" pid="17" name="Parties">
    <vt:lpwstr>   </vt:lpwstr>
  </property>
  <property fmtid="{D5CDD505-2E9C-101B-9397-08002B2CF9AE}" pid="18" name="Signer(s)">
    <vt:lpwstr>   </vt:lpwstr>
  </property>
</Properties>
</file>