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August 1, 2000</w:t>
      </w:r>
    </w:p>
    <w:p>
      <w:pPr>
        <w:pStyle w:val="Normal"/>
        <w:rPr>
          <w:sz w:val="22"/>
        </w:rPr>
      </w:pPr>
      <w:r>
        <w:rPr>
          <w:sz w:val="22"/>
        </w:rPr>
      </w:r>
    </w:p>
    <w:p>
      <w:pPr>
        <w:pStyle w:val="Normal"/>
        <w:rPr>
          <w:sz w:val="22"/>
        </w:rPr>
      </w:pPr>
      <w:r>
        <w:rPr>
          <w:sz w:val="22"/>
        </w:rPr>
      </w:r>
    </w:p>
    <w:p>
      <w:pPr>
        <w:pStyle w:val="Normal"/>
        <w:rPr>
          <w:sz w:val="22"/>
        </w:rPr>
      </w:pPr>
      <w:r>
        <w:rPr>
          <w:sz w:val="22"/>
        </w:rPr>
        <w:t>Richard Williams</w:t>
      </w:r>
    </w:p>
    <w:p>
      <w:pPr>
        <w:pStyle w:val="Normal"/>
        <w:rPr>
          <w:sz w:val="22"/>
        </w:rPr>
      </w:pPr>
      <w:r>
        <w:rPr>
          <w:sz w:val="22"/>
        </w:rPr>
        <w:t>Barclays Bank</w:t>
      </w:r>
    </w:p>
    <w:p>
      <w:pPr>
        <w:pStyle w:val="Normal"/>
        <w:rPr>
          <w:sz w:val="22"/>
        </w:rPr>
      </w:pPr>
      <w:r>
        <w:rPr>
          <w:sz w:val="22"/>
        </w:rPr>
      </w:r>
    </w:p>
    <w:p>
      <w:pPr>
        <w:pStyle w:val="Normal"/>
        <w:rPr>
          <w:sz w:val="22"/>
        </w:rPr>
      </w:pPr>
      <w:r>
        <w:rPr>
          <w:sz w:val="22"/>
        </w:rPr>
      </w:r>
    </w:p>
    <w:p>
      <w:pPr>
        <w:pStyle w:val="Heading1"/>
        <w:ind w:hanging="0" w:start="0"/>
        <w:rPr>
          <w:sz w:val="22"/>
        </w:rPr>
      </w:pPr>
      <w:r>
        <w:rPr>
          <w:sz w:val="22"/>
        </w:rPr>
        <w:t>Re:  Lost Creek Financing – Conversion</w:t>
      </w:r>
    </w:p>
    <w:p>
      <w:pPr>
        <w:pStyle w:val="Normal"/>
        <w:jc w:val="center"/>
        <w:rPr>
          <w:sz w:val="22"/>
        </w:rPr>
      </w:pPr>
      <w:r>
        <w:rPr>
          <w:sz w:val="22"/>
        </w:rPr>
      </w:r>
    </w:p>
    <w:p>
      <w:pPr>
        <w:pStyle w:val="Normal"/>
        <w:rPr>
          <w:sz w:val="22"/>
        </w:rPr>
      </w:pPr>
      <w:r>
        <w:rPr>
          <w:sz w:val="22"/>
        </w:rPr>
      </w:r>
    </w:p>
    <w:p>
      <w:pPr>
        <w:pStyle w:val="Normal"/>
        <w:rPr>
          <w:sz w:val="22"/>
        </w:rPr>
      </w:pPr>
      <w:r>
        <w:rPr>
          <w:i/>
          <w:sz w:val="22"/>
        </w:rPr>
        <w:t>[Summary Update on the construction of the project – Audrey to write up]</w:t>
      </w:r>
    </w:p>
    <w:p>
      <w:pPr>
        <w:pStyle w:val="Normal"/>
        <w:rPr>
          <w:sz w:val="22"/>
        </w:rPr>
      </w:pPr>
      <w:r>
        <w:rPr>
          <w:sz w:val="22"/>
        </w:rPr>
      </w:r>
    </w:p>
    <w:p>
      <w:pPr>
        <w:pStyle w:val="Normal"/>
        <w:rPr>
          <w:sz w:val="22"/>
        </w:rPr>
      </w:pPr>
      <w:r>
        <w:rPr>
          <w:sz w:val="22"/>
        </w:rPr>
      </w:r>
    </w:p>
    <w:p>
      <w:pPr>
        <w:pStyle w:val="Heading2"/>
        <w:ind w:hanging="0" w:start="0"/>
        <w:rPr/>
      </w:pPr>
      <w:r>
        <w:rPr/>
        <w:t>1.  Extension of Date Certain</w:t>
      </w:r>
    </w:p>
    <w:p>
      <w:pPr>
        <w:pStyle w:val="Normal"/>
        <w:rPr>
          <w:sz w:val="22"/>
        </w:rPr>
      </w:pPr>
      <w:r>
        <w:rPr>
          <w:sz w:val="22"/>
        </w:rPr>
      </w:r>
    </w:p>
    <w:p>
      <w:pPr>
        <w:pStyle w:val="Normal"/>
        <w:rPr>
          <w:sz w:val="22"/>
        </w:rPr>
      </w:pPr>
      <w:r>
        <w:rPr>
          <w:sz w:val="22"/>
        </w:rPr>
        <w:t>Under Section 3.05 of the Construction and Term Credit Agreement (Credit Agreement), we are allowed to extend the Date Certain to December 31, 2001.  We are required to notify the Banks of the extension prior to August 31, 2000.  The formal extension letter is attached.</w:t>
      </w:r>
    </w:p>
    <w:p>
      <w:pPr>
        <w:pStyle w:val="Normal"/>
        <w:rPr>
          <w:sz w:val="22"/>
        </w:rPr>
      </w:pPr>
      <w:r>
        <w:rPr>
          <w:sz w:val="22"/>
        </w:rPr>
      </w:r>
    </w:p>
    <w:p>
      <w:pPr>
        <w:pStyle w:val="Normal"/>
        <w:rPr>
          <w:sz w:val="22"/>
        </w:rPr>
      </w:pPr>
      <w:r>
        <w:rPr>
          <w:sz w:val="22"/>
        </w:rPr>
        <w:t xml:space="preserve">Although the extension allows us to have the Conversion Date occur as late as December 31, 2001 – we are targeting a Conversion Date of September 10, 2000. </w:t>
      </w:r>
    </w:p>
    <w:p>
      <w:pPr>
        <w:pStyle w:val="Normal"/>
        <w:rPr>
          <w:sz w:val="22"/>
        </w:rPr>
      </w:pPr>
      <w:r>
        <w:rPr>
          <w:sz w:val="22"/>
        </w:rPr>
      </w:r>
    </w:p>
    <w:p>
      <w:pPr>
        <w:pStyle w:val="Normal"/>
        <w:rPr>
          <w:b/>
          <w:sz w:val="22"/>
          <w:u w:val="single"/>
        </w:rPr>
      </w:pPr>
      <w:r>
        <w:rPr>
          <w:b/>
          <w:sz w:val="22"/>
          <w:u w:val="single"/>
        </w:rPr>
        <w:t>2.  Amendment to the Gas Gathering Agreement (1)</w:t>
      </w:r>
    </w:p>
    <w:p>
      <w:pPr>
        <w:pStyle w:val="Normal"/>
        <w:rPr>
          <w:b/>
          <w:sz w:val="22"/>
          <w:u w:val="single"/>
        </w:rPr>
      </w:pPr>
      <w:r>
        <w:rPr>
          <w:b/>
          <w:sz w:val="22"/>
          <w:u w:val="single"/>
        </w:rPr>
      </w:r>
    </w:p>
    <w:p>
      <w:pPr>
        <w:pStyle w:val="Normal"/>
        <w:rPr/>
      </w:pPr>
      <w:r>
        <w:rPr>
          <w:sz w:val="22"/>
        </w:rPr>
        <w:t xml:space="preserve">Under the Gas Gathering Agreement, the service was to have begun on [ ], and the Shippers were supposed to have begun paying the Shipping Charges since [ ].  Since the construction of the pipeline has been delayed, the Shippers have agreed to delay the start of the Gas Gathering Agreement and the payment of Shipping Charges to October 1, 2000.  </w:t>
      </w:r>
      <w:r>
        <w:rPr>
          <w:sz w:val="22"/>
          <w:highlight w:val="yellow"/>
        </w:rPr>
        <w:t>[The Shippers have agreed to pick up the O&amp;M costs associated with the pipe prior to October 1, 2000 if required on a pro-rata basis]</w:t>
      </w:r>
      <w:r>
        <w:rPr>
          <w:rStyle w:val="FootnoteCharacters"/>
          <w:rStyle w:val="FootnoteReference"/>
          <w:sz w:val="22"/>
        </w:rPr>
        <w:footnoteReference w:id="2"/>
      </w:r>
      <w:r>
        <w:rPr>
          <w:sz w:val="22"/>
        </w:rPr>
        <w:t xml:space="preserve">.  Further, the end date of the Gas Gathering Agreement has been simultaneously moved back one quarter and now ends on September 30, 2010. </w:t>
      </w:r>
    </w:p>
    <w:p>
      <w:pPr>
        <w:pStyle w:val="Normal"/>
        <w:rPr>
          <w:sz w:val="22"/>
        </w:rPr>
      </w:pPr>
      <w:r>
        <w:rPr>
          <w:sz w:val="22"/>
        </w:rPr>
      </w:r>
    </w:p>
    <w:p>
      <w:pPr>
        <w:pStyle w:val="Normal"/>
        <w:rPr>
          <w:b/>
          <w:sz w:val="22"/>
          <w:u w:val="single"/>
        </w:rPr>
      </w:pPr>
      <w:r>
        <w:rPr>
          <w:b/>
          <w:sz w:val="22"/>
          <w:u w:val="single"/>
        </w:rPr>
        <w:t>3.  Amendment to the Administration Services Agreement (2)</w:t>
      </w:r>
    </w:p>
    <w:p>
      <w:pPr>
        <w:pStyle w:val="Normal"/>
        <w:rPr>
          <w:b/>
          <w:sz w:val="22"/>
          <w:u w:val="single"/>
        </w:rPr>
      </w:pPr>
      <w:r>
        <w:rPr>
          <w:b/>
          <w:sz w:val="22"/>
          <w:u w:val="single"/>
        </w:rPr>
      </w:r>
    </w:p>
    <w:p>
      <w:pPr>
        <w:pStyle w:val="Normal"/>
        <w:rPr>
          <w:sz w:val="22"/>
        </w:rPr>
      </w:pPr>
      <w:r>
        <w:rPr>
          <w:sz w:val="22"/>
        </w:rPr>
        <w:t>Previously, the compression on the pipeline were going to be gas compressors with the shippers paying for the compression charges by giving up 1% of the gas transported on their behalf.</w:t>
      </w:r>
    </w:p>
    <w:p>
      <w:pPr>
        <w:pStyle w:val="Normal"/>
        <w:rPr>
          <w:sz w:val="22"/>
        </w:rPr>
      </w:pPr>
      <w:r>
        <w:rPr>
          <w:sz w:val="22"/>
        </w:rPr>
      </w:r>
    </w:p>
    <w:p>
      <w:pPr>
        <w:pStyle w:val="Normal"/>
        <w:rPr>
          <w:sz w:val="22"/>
        </w:rPr>
      </w:pPr>
      <w:r>
        <w:rPr>
          <w:sz w:val="22"/>
        </w:rPr>
        <w:t>Since then it has been found that electric compression is more efficient and economic.  Therefore, Lost Creek has installed electric compressors and has made arrangements for the operation of the electric compressors.  The gas customers will however continue to pay for the compression services by contributing 1% of the gas being transported under the Gas Gathering Agreements.  The revenues from the sale of the gas more than covers the cost of the electric compressors.</w:t>
      </w:r>
    </w:p>
    <w:p>
      <w:pPr>
        <w:pStyle w:val="Normal"/>
        <w:rPr>
          <w:sz w:val="22"/>
        </w:rPr>
      </w:pPr>
      <w:r>
        <w:rPr>
          <w:sz w:val="22"/>
        </w:rPr>
      </w:r>
    </w:p>
    <w:p>
      <w:pPr>
        <w:pStyle w:val="Heading2"/>
        <w:ind w:hanging="0" w:start="0"/>
        <w:rPr/>
      </w:pPr>
      <w:r>
        <w:rPr/>
        <w:t>4.  Revision to the Amortization Schedule</w:t>
      </w:r>
    </w:p>
    <w:p>
      <w:pPr>
        <w:pStyle w:val="Normal"/>
        <w:rPr>
          <w:sz w:val="22"/>
        </w:rPr>
      </w:pPr>
      <w:r>
        <w:rPr>
          <w:sz w:val="22"/>
        </w:rPr>
      </w:r>
    </w:p>
    <w:p>
      <w:pPr>
        <w:pStyle w:val="Normal"/>
        <w:rPr>
          <w:sz w:val="22"/>
        </w:rPr>
      </w:pPr>
      <w:r>
        <w:rPr>
          <w:sz w:val="22"/>
        </w:rPr>
        <w:t xml:space="preserve">The amortization schedule attached to the Credit Agreement was for 40 quarterly payments with the first payment starting Sept 30, 2000.  Since (1) the Conversion Date is going to be delayed and (2) the Gas Gathering Agreement has been pushed back one-quarter (i.e. starting Oct 1, 2000 through Sept 30, 2010), we request that we keep the same 40 quarterly installments as listed in the Credit Agreement but have the first principal payment start in December 31, 2000 and the last principal payment be on September 30, 2010 contemporaneous with the term of the Gas Gathering Agreements.  The revised Amortization Schedule is attached as Attachment A as required under Section 3.05 of the Credit Agreement. </w:t>
      </w:r>
    </w:p>
    <w:p>
      <w:pPr>
        <w:pStyle w:val="Normal"/>
        <w:rPr>
          <w:sz w:val="22"/>
        </w:rPr>
      </w:pPr>
      <w:r>
        <w:rPr>
          <w:sz w:val="22"/>
        </w:rPr>
      </w:r>
    </w:p>
    <w:p>
      <w:pPr>
        <w:pStyle w:val="Heading2"/>
        <w:ind w:hanging="0" w:start="0"/>
        <w:rPr/>
      </w:pPr>
      <w:r>
        <w:rPr/>
        <w:t>5.  Updated Base Case Cash Flows</w:t>
      </w:r>
    </w:p>
    <w:p>
      <w:pPr>
        <w:pStyle w:val="Normal"/>
        <w:rPr>
          <w:sz w:val="22"/>
        </w:rPr>
      </w:pPr>
      <w:r>
        <w:rPr>
          <w:sz w:val="22"/>
        </w:rPr>
      </w:r>
    </w:p>
    <w:p>
      <w:pPr>
        <w:pStyle w:val="Normal"/>
        <w:rPr>
          <w:sz w:val="22"/>
        </w:rPr>
      </w:pPr>
      <w:r>
        <w:rPr>
          <w:sz w:val="22"/>
        </w:rPr>
        <w:t>The Base Case Model has been updated for the new start dates and revised amortization schedule.  We meet the debt service coverage test required for Conversion.  We are also required to hedge 75% of the term loan.  In the base case, we have assumed that the company has swapped the required loan amount for a 7.20% rate.  The swap will be entered into closer to the Conversion Date.  The Base Case Cash Flows is attached as Attachment B.</w:t>
      </w:r>
    </w:p>
    <w:p>
      <w:pPr>
        <w:pStyle w:val="Normal"/>
        <w:rPr>
          <w:sz w:val="22"/>
        </w:rPr>
      </w:pPr>
      <w:r>
        <w:rPr>
          <w:sz w:val="22"/>
        </w:rPr>
      </w:r>
    </w:p>
    <w:p>
      <w:pPr>
        <w:pStyle w:val="Heading2"/>
        <w:ind w:hanging="0" w:start="0"/>
        <w:rPr/>
      </w:pPr>
      <w:r>
        <w:rPr/>
        <w:t>6.  Legal Documents associated with Conversion</w:t>
      </w:r>
    </w:p>
    <w:p>
      <w:pPr>
        <w:pStyle w:val="Normal"/>
        <w:rPr>
          <w:sz w:val="22"/>
        </w:rPr>
      </w:pPr>
      <w:r>
        <w:rPr>
          <w:sz w:val="22"/>
        </w:rPr>
      </w:r>
    </w:p>
    <w:p>
      <w:pPr>
        <w:pStyle w:val="Normal"/>
        <w:rPr>
          <w:sz w:val="22"/>
        </w:rPr>
      </w:pPr>
      <w:r>
        <w:rPr>
          <w:sz w:val="22"/>
        </w:rPr>
        <w:t>Our lawyers have prepared the documents required for the conversion.  We shall be sending them over to you for your approval.  We would like to have the documents finalized by  August 31, 2000.</w:t>
      </w:r>
    </w:p>
    <w:p>
      <w:pPr>
        <w:pStyle w:val="Normal"/>
        <w:rPr>
          <w:sz w:val="22"/>
        </w:rPr>
      </w:pPr>
      <w:r>
        <w:rPr>
          <w:sz w:val="22"/>
        </w:rPr>
      </w:r>
    </w:p>
    <w:p>
      <w:pPr>
        <w:pStyle w:val="Normal"/>
        <w:rPr>
          <w:sz w:val="22"/>
        </w:rPr>
      </w:pPr>
      <w:r>
        <w:rPr>
          <w:sz w:val="22"/>
        </w:rPr>
        <w:t>If you have any questions, please call me at 713-853-5274 or Dean Henry at 713-624-9836.</w:t>
      </w:r>
    </w:p>
    <w:p>
      <w:pPr>
        <w:pStyle w:val="Normal"/>
        <w:rPr>
          <w:sz w:val="22"/>
        </w:rPr>
      </w:pPr>
      <w:r>
        <w:rPr>
          <w:sz w:val="22"/>
        </w:rPr>
      </w:r>
    </w:p>
    <w:p>
      <w:pPr>
        <w:pStyle w:val="Normal"/>
        <w:rPr>
          <w:sz w:val="22"/>
        </w:rPr>
      </w:pPr>
      <w:r>
        <w:rPr>
          <w:sz w:val="22"/>
        </w:rPr>
      </w:r>
    </w:p>
    <w:p>
      <w:pPr>
        <w:pStyle w:val="Normal"/>
        <w:rPr>
          <w:sz w:val="22"/>
        </w:rPr>
      </w:pPr>
      <w:r>
        <w:rPr>
          <w:sz w:val="22"/>
        </w:rPr>
        <w:t xml:space="preserve">Sincerely,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 ]</w:t>
      </w:r>
    </w:p>
    <w:p>
      <w:pPr>
        <w:pStyle w:val="Normal"/>
        <w:rPr>
          <w:sz w:val="22"/>
        </w:rPr>
      </w:pPr>
      <w:r>
        <w:rPr>
          <w:sz w:val="22"/>
        </w:rPr>
        <w:t>Lost Creek Gathering Company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cc:  [ ], Stone and Webster</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Is this true?!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2"/>
      </w:rPr>
    </w:pPr>
    <w:r>
      <w:rPr>
        <w:i/>
        <w:sz w:val="2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outlineLvl w:val="1"/>
    </w:pPr>
    <w:rPr>
      <w:b/>
      <w:sz w:val="22"/>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2000-08-01T17:07:00Z</dcterms:created>
  <dc:creator>rdutt</dc:creator>
  <dc:description/>
  <dc:language>en-CA</dc:language>
  <cp:lastModifiedBy>rdutt</cp:lastModifiedBy>
  <dcterms:modified xsi:type="dcterms:W3CDTF">2000-08-01T20:38:00Z</dcterms:modified>
  <cp:revision>5</cp:revision>
  <dc:subject/>
  <dc:title>August 1, 2000</dc:title>
</cp:coreProperties>
</file>