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media/image2.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start"/>
        <w:rPr>
          <w:sz w:val="22"/>
          <w:lang w:val="en-CA"/>
        </w:rPr>
      </w:pPr>
      <w:r>
        <w:rPr>
          <w:sz w:val="22"/>
          <w:lang w:val="en-CA"/>
        </w:rPr>
        <w:object w:dxaOrig="9195" w:dyaOrig="325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57.6pt;width:223.2pt;height:78.9pt;mso-wrap-distance-left:9.05pt;mso-wrap-distance-right:9.05pt;mso-position-horizontal-relative:text;mso-position-vertical-relative:text" filled="f" o:ole="">
            <v:imagedata r:id="rId3" o:title=""/>
          </v:shape>
          <o:OLEObject Type="Embed" ProgID="" ShapeID="ole_rId2" DrawAspect="Content" ObjectID="_900033356" r:id="rId2"/>
        </w:object>
        <w:object w:dxaOrig="4695" w:dyaOrig="6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115.2pt;margin-top:-7.2pt;width:381.6pt;height:10.8pt;mso-wrap-distance-left:9.05pt;mso-wrap-distance-right:9.05pt;mso-position-horizontal-relative:text;mso-position-vertical-relative:text" filled="f" o:ole="">
            <v:imagedata r:id="rId5" o:title=""/>
            <w10:wrap type="square"/>
          </v:shape>
          <o:OLEObject Type="Embed" ProgID="" ShapeID="ole_rId4" DrawAspect="Content" ObjectID="_339300098" r:id="rId4"/>
        </w:object>
      </w:r>
    </w:p>
    <w:p>
      <w:pPr>
        <w:pStyle w:val="Normal"/>
        <w:ind w:start="6840" w:end="0"/>
        <w:rPr>
          <w:sz w:val="18"/>
        </w:rPr>
      </w:pPr>
      <w:r>
        <w:rPr>
          <w:sz w:val="18"/>
        </w:rPr>
        <w:t>Jeffrey D. (Dan) Watkiss</w:t>
      </w:r>
    </w:p>
    <w:p>
      <w:pPr>
        <w:pStyle w:val="Normal"/>
        <w:ind w:start="6840" w:end="0"/>
        <w:rPr>
          <w:sz w:val="18"/>
        </w:rPr>
      </w:pPr>
      <w:r>
        <w:rPr>
          <w:sz w:val="18"/>
        </w:rPr>
        <w:t>Partner</w:t>
      </w:r>
    </w:p>
    <w:p>
      <w:pPr>
        <w:pStyle w:val="Normal"/>
        <w:ind w:start="6840" w:end="0"/>
        <w:rPr>
          <w:sz w:val="18"/>
        </w:rPr>
      </w:pPr>
      <w:r>
        <w:rPr>
          <w:sz w:val="18"/>
        </w:rPr>
      </w:r>
    </w:p>
    <w:p>
      <w:pPr>
        <w:pStyle w:val="Normal"/>
        <w:ind w:start="6840" w:end="0"/>
        <w:rPr>
          <w:sz w:val="18"/>
        </w:rPr>
      </w:pPr>
      <w:r>
        <w:rPr>
          <w:sz w:val="18"/>
        </w:rPr>
        <w:t>2000 K Street NW, Suite 500</w:t>
      </w:r>
    </w:p>
    <w:p>
      <w:pPr>
        <w:pStyle w:val="Normal"/>
        <w:ind w:start="6840" w:end="0"/>
        <w:rPr>
          <w:sz w:val="18"/>
        </w:rPr>
      </w:pPr>
      <w:r>
        <w:rPr>
          <w:sz w:val="18"/>
        </w:rPr>
        <w:t>Washington, DC  20006-1872</w:t>
      </w:r>
    </w:p>
    <w:p>
      <w:pPr>
        <w:pStyle w:val="Normal"/>
        <w:tabs>
          <w:tab w:val="clear" w:pos="720"/>
          <w:tab w:val="left" w:pos="4320" w:leader="none"/>
          <w:tab w:val="left" w:pos="6840" w:leader="none"/>
        </w:tabs>
        <w:rPr/>
      </w:pPr>
      <w:r>
        <w:rPr>
          <w:sz w:val="22"/>
        </w:rPr>
        <w:tab/>
      </w: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r>
        <w:rPr>
          <w:sz w:val="22"/>
        </w:rPr>
        <w:tab/>
      </w:r>
      <w:r>
        <w:rPr>
          <w:sz w:val="18"/>
        </w:rPr>
        <w:t>Phone: 202.828.5851</w:t>
      </w:r>
    </w:p>
    <w:p>
      <w:pPr>
        <w:pStyle w:val="Normal"/>
        <w:tabs>
          <w:tab w:val="clear" w:pos="720"/>
          <w:tab w:val="left" w:pos="4500" w:leader="none"/>
          <w:tab w:val="left" w:pos="6840" w:leader="none"/>
        </w:tabs>
        <w:rPr>
          <w:sz w:val="18"/>
        </w:rPr>
      </w:pPr>
      <w:r>
        <w:rPr>
          <w:sz w:val="18"/>
        </w:rPr>
        <w:tab/>
        <w:tab/>
        <w:t>Fax: 202.223.1225</w:t>
      </w:r>
    </w:p>
    <w:p>
      <w:pPr>
        <w:pStyle w:val="Normal"/>
        <w:tabs>
          <w:tab w:val="clear" w:pos="720"/>
          <w:tab w:val="left" w:pos="4500" w:leader="none"/>
          <w:tab w:val="left" w:pos="6840" w:leader="none"/>
        </w:tabs>
        <w:rPr>
          <w:sz w:val="18"/>
        </w:rPr>
      </w:pPr>
      <w:r>
        <w:rPr>
          <w:sz w:val="18"/>
        </w:rPr>
        <w:tab/>
        <w:tab/>
        <w:t>dwatkiss@bracepatt.com</w:t>
      </w:r>
    </w:p>
    <w:p>
      <w:pPr>
        <w:pStyle w:val="Heading1"/>
        <w:ind w:hanging="0" w:start="0"/>
        <w:rPr>
          <w:i/>
          <w:i/>
          <w:sz w:val="22"/>
          <w:u w:val="single"/>
        </w:rPr>
      </w:pPr>
      <w:r>
        <w:rPr>
          <w:i/>
          <w:sz w:val="22"/>
          <w:u w:val="single"/>
        </w:rPr>
      </w:r>
    </w:p>
    <w:p>
      <w:pPr>
        <w:pStyle w:val="Heading1"/>
        <w:ind w:hanging="0" w:start="0"/>
        <w:jc w:val="end"/>
        <w:rPr/>
      </w:pPr>
      <w:r>
        <w:rPr>
          <w:i/>
        </w:rPr>
        <w:t>BY TELECOPY</w:t>
      </w:r>
      <w:r>
        <w:rPr/>
        <w:tab/>
      </w:r>
    </w:p>
    <w:p>
      <w:pPr>
        <w:pStyle w:val="Normal"/>
        <w:rPr/>
      </w:pPr>
      <w:r>
        <w:rPr/>
        <w:t xml:space="preserve">The Honorable Carmen A. Cintron </w:t>
      </w:r>
    </w:p>
    <w:p>
      <w:pPr>
        <w:pStyle w:val="Normal"/>
        <w:rPr/>
      </w:pPr>
      <w:r>
        <w:rPr/>
        <w:t xml:space="preserve">Administrative Law Judge </w:t>
      </w:r>
    </w:p>
    <w:p>
      <w:pPr>
        <w:pStyle w:val="Normal"/>
        <w:rPr/>
      </w:pPr>
      <w:r>
        <w:rPr/>
        <w:t xml:space="preserve">Federal Energy Regulatory Commission </w:t>
      </w:r>
    </w:p>
    <w:p>
      <w:pPr>
        <w:pStyle w:val="Normal"/>
        <w:rPr/>
      </w:pPr>
      <w:r>
        <w:rPr/>
        <w:t>888 1</w:t>
      </w:r>
      <w:r>
        <w:rPr>
          <w:vertAlign w:val="superscript"/>
        </w:rPr>
        <w:t>st</w:t>
      </w:r>
      <w:r>
        <w:rPr/>
        <w:t xml:space="preserve"> Street, N.E. </w:t>
      </w:r>
    </w:p>
    <w:p>
      <w:pPr>
        <w:pStyle w:val="Normal"/>
        <w:rPr/>
      </w:pPr>
      <w:r>
        <w:rPr/>
        <w:t xml:space="preserve">11F-33 </w:t>
      </w:r>
    </w:p>
    <w:p>
      <w:pPr>
        <w:pStyle w:val="Normal"/>
        <w:rPr>
          <w:sz w:val="22"/>
          <w:lang w:eastAsia="en-US"/>
        </w:rPr>
      </w:pPr>
      <w:r>
        <w:rPr/>
        <w:t>Washington, D.C.  20426</w:t>
      </w:r>
    </w:p>
    <w:p>
      <w:pPr>
        <w:pStyle w:val="Normal"/>
        <w:jc w:val="start"/>
        <w:rPr>
          <w:sz w:val="22"/>
          <w:lang w:eastAsia="en-US"/>
        </w:rPr>
      </w:pPr>
      <w:r>
        <w:rPr>
          <w:sz w:val="22"/>
          <w:lang w:eastAsia="en-US"/>
        </w:rPr>
      </w:r>
    </w:p>
    <w:p>
      <w:pPr>
        <w:pStyle w:val="Normal"/>
        <w:jc w:val="start"/>
        <w:rPr>
          <w:sz w:val="22"/>
        </w:rPr>
      </w:pPr>
      <w:r>
        <w:rPr>
          <w:sz w:val="22"/>
        </w:rPr>
      </w:r>
    </w:p>
    <w:p>
      <w:pPr>
        <w:pStyle w:val="Normal"/>
        <w:tabs>
          <w:tab w:val="left" w:pos="720" w:leader="none"/>
          <w:tab w:val="left" w:pos="1440" w:leader="none"/>
        </w:tabs>
        <w:ind w:hanging="1872" w:start="1872" w:end="0"/>
        <w:rPr/>
      </w:pPr>
      <w:r>
        <w:rPr/>
        <w:tab/>
        <w:t>Re:</w:t>
        <w:tab/>
      </w:r>
      <w:r>
        <w:rPr>
          <w:i/>
        </w:rPr>
        <w:t>Puget Sound Energy, Inc., v. All Jurisdictional Sellers</w:t>
      </w:r>
      <w:r>
        <w:rPr/>
        <w:t>, Docket Nos. EL01-10-000 and EL01-10-001</w:t>
      </w:r>
    </w:p>
    <w:p>
      <w:pPr>
        <w:pStyle w:val="Normal"/>
        <w:rPr/>
      </w:pPr>
      <w:r>
        <w:rPr/>
      </w:r>
    </w:p>
    <w:p>
      <w:pPr>
        <w:pStyle w:val="Normal"/>
        <w:jc w:val="start"/>
        <w:rPr>
          <w:sz w:val="22"/>
        </w:rPr>
      </w:pPr>
      <w:r>
        <w:rPr/>
        <w:t>Dear Judge Cintron:</w:t>
      </w:r>
    </w:p>
    <w:p>
      <w:pPr>
        <w:pStyle w:val="Normal"/>
        <w:jc w:val="start"/>
        <w:rPr>
          <w:sz w:val="22"/>
        </w:rPr>
      </w:pPr>
      <w:r>
        <w:rPr>
          <w:sz w:val="22"/>
        </w:rPr>
      </w:r>
    </w:p>
    <w:p>
      <w:pPr>
        <w:pStyle w:val="Normal"/>
        <w:ind w:firstLine="720" w:end="0"/>
        <w:rPr/>
      </w:pPr>
      <w:r>
        <w:rPr/>
        <w:t>I write to inform you that Enron Power Marketing and Enron Energy Services (jointly "Enron"), respondents in the captioned case, are unable to make the data submission on their Pacific Northwest power sales that was scheduled for today.  Since the first pre-hearing in this case, Enron has deployed two teams of accountants and economists to analyze nearly 14 million data entries that may fall within the scope of the data submission template that you prescribed on August 9.  Despite their efforts (which during the past week have been ongoing 24 hours per day), we learned today, in connection with exercises to cross-check the accuracy of the data, that there are discrepancies in the data.  We are presently trying to find the source of the discrepancies.  However, Enron presently is unable to represent with confidence that any submission we could now make would be accurate.</w:t>
      </w:r>
    </w:p>
    <w:p>
      <w:pPr>
        <w:pStyle w:val="Normal"/>
        <w:rPr/>
      </w:pPr>
      <w:r>
        <w:rPr/>
      </w:r>
    </w:p>
    <w:p>
      <w:pPr>
        <w:pStyle w:val="Normal"/>
        <w:rPr>
          <w:sz w:val="22"/>
        </w:rPr>
      </w:pPr>
      <w:r>
        <w:rPr/>
        <w:tab/>
        <w:t>Please rest assured that our two teams of analysts are working assiduously to cure the discrepancies and that Enron will make a submission of accurate information on its Pacific Northwest sales just as soon as it is able.  I shall personally keep you and the Commission staff assigned to this case abreast of our progress.</w:t>
      </w:r>
    </w:p>
    <w:p>
      <w:pPr>
        <w:pStyle w:val="Normal"/>
        <w:rPr>
          <w:sz w:val="22"/>
        </w:rPr>
      </w:pPr>
      <w:r>
        <w:rPr>
          <w:sz w:val="22"/>
        </w:rPr>
      </w:r>
    </w:p>
    <w:p>
      <w:pPr>
        <w:pStyle w:val="Normal"/>
        <w:jc w:val="start"/>
        <w:rPr>
          <w:sz w:val="22"/>
        </w:rPr>
      </w:pPr>
      <w:r>
        <w:rPr>
          <w:sz w:val="22"/>
        </w:rPr>
        <w:tab/>
        <w:tab/>
        <w:tab/>
        <w:tab/>
        <w:tab/>
        <w:tab/>
        <w:t xml:space="preserve">Very truly yours, </w:t>
      </w:r>
    </w:p>
    <w:p>
      <w:pPr>
        <w:pStyle w:val="Normal"/>
        <w:jc w:val="start"/>
        <w:rPr>
          <w:sz w:val="22"/>
        </w:rPr>
      </w:pPr>
      <w:r>
        <w:rPr>
          <w:sz w:val="22"/>
        </w:rPr>
      </w:r>
    </w:p>
    <w:p>
      <w:pPr>
        <w:pStyle w:val="Normal"/>
        <w:jc w:val="start"/>
        <w:rPr>
          <w:sz w:val="22"/>
        </w:rPr>
      </w:pPr>
      <w:r>
        <w:rPr>
          <w:sz w:val="22"/>
        </w:rPr>
        <w:tab/>
        <w:tab/>
        <w:tab/>
        <w:tab/>
        <w:tab/>
        <w:tab/>
        <w:t>Bracewell &amp; Patterson, L.L.P.</w:t>
      </w:r>
    </w:p>
    <w:p>
      <w:pPr>
        <w:pStyle w:val="Normal"/>
        <w:jc w:val="start"/>
        <w:rPr>
          <w:sz w:val="22"/>
        </w:rPr>
      </w:pPr>
      <w:r>
        <w:rPr>
          <w:sz w:val="22"/>
        </w:rPr>
      </w:r>
    </w:p>
    <w:p>
      <w:pPr>
        <w:pStyle w:val="Normal"/>
        <w:jc w:val="start"/>
        <w:rPr>
          <w:sz w:val="22"/>
        </w:rPr>
      </w:pPr>
      <w:r>
        <w:rPr>
          <w:sz w:val="22"/>
        </w:rPr>
        <w:tab/>
        <w:tab/>
        <w:tab/>
        <w:tab/>
        <w:tab/>
        <w:tab/>
        <w:t>/s/ Jeffery D. Watkiss</w:t>
      </w:r>
    </w:p>
    <w:p>
      <w:pPr>
        <w:pStyle w:val="Normal"/>
        <w:jc w:val="start"/>
        <w:rPr>
          <w:sz w:val="22"/>
        </w:rPr>
      </w:pPr>
      <w:r>
        <w:rPr>
          <w:sz w:val="22"/>
        </w:rPr>
        <w:tab/>
        <w:tab/>
        <w:tab/>
        <w:tab/>
      </w:r>
    </w:p>
    <w:p>
      <w:pPr>
        <w:pStyle w:val="Normal"/>
        <w:jc w:val="start"/>
        <w:rPr>
          <w:sz w:val="22"/>
        </w:rPr>
      </w:pPr>
      <w:r>
        <w:rPr>
          <w:sz w:val="22"/>
        </w:rPr>
        <w:tab/>
        <w:tab/>
        <w:tab/>
        <w:tab/>
        <w:tab/>
        <w:tab/>
        <w:t>Jeffrey D. Watkiss</w:t>
      </w:r>
    </w:p>
    <w:p>
      <w:pPr>
        <w:pStyle w:val="Normal"/>
        <w:jc w:val="start"/>
        <w:rPr>
          <w:sz w:val="22"/>
        </w:rPr>
      </w:pPr>
      <w:r>
        <w:rPr>
          <w:sz w:val="22"/>
        </w:rPr>
        <w:t>cc:</w:t>
        <w:tab/>
        <w:t>Janet Jones</w:t>
      </w:r>
    </w:p>
    <w:p>
      <w:pPr>
        <w:pStyle w:val="Normal"/>
        <w:jc w:val="start"/>
        <w:rPr>
          <w:sz w:val="22"/>
        </w:rPr>
      </w:pPr>
      <w:r>
        <w:rPr>
          <w:sz w:val="22"/>
        </w:rPr>
        <w:tab/>
        <w:t>Carmen Gastillo</w:t>
      </w:r>
    </w:p>
    <w:p>
      <w:pPr>
        <w:pStyle w:val="Normal"/>
        <w:jc w:val="start"/>
        <w:rPr>
          <w:sz w:val="22"/>
        </w:rPr>
      </w:pPr>
      <w:r>
        <w:rPr>
          <w:sz w:val="22"/>
        </w:rPr>
        <w:t xml:space="preserve"> </w:t>
      </w:r>
      <w:r>
        <w:rPr>
          <w:sz w:val="22"/>
        </w:rPr>
        <w:tab/>
        <w:t>Commission Staff Counsel</w:t>
      </w:r>
    </w:p>
    <w:sectPr>
      <w:footerReference w:type="default" r:id="rId6"/>
      <w:footerReference w:type="first" r:id="rId7"/>
      <w:type w:val="nextPage"/>
      <w:pgSz w:w="12240" w:h="15840"/>
      <w:pgMar w:left="1440" w:right="1440" w:gutter="0" w:header="0" w:top="144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0</w:t>
    </w:r>
    <w:r>
      <w:rPr>
        <w:lang w:eastAsia="en-US"/>
      </w:rPr>
      <w:fldChar w:fldCharType="end"/>
    </w:r>
    <w:r>
      <w:rPr>
        <w:lang w:eastAsia="en-US"/>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2001-08-16T20:30:00Z</dcterms:created>
  <dc:creator>Bracewell &amp; Patterson, L.L.P.</dc:creator>
  <dc:description/>
  <dc:language>en-CA</dc:language>
  <cp:lastModifiedBy>Bracewell &amp; Patterson</cp:lastModifiedBy>
  <cp:lastPrinted>2001-08-16T18:07:00Z</cp:lastPrinted>
  <dcterms:modified xsi:type="dcterms:W3CDTF">2001-08-16T20:42:00Z</dcterms:modified>
  <cp:revision>5</cp:revision>
  <dc:subject/>
  <dc:title>Jeffrey D</dc:title>
</cp:coreProperties>
</file>