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szCs w:val="24"/>
        </w:rPr>
      </w:pPr>
      <w:r>
        <w:rPr>
          <w:b/>
          <w:bCs/>
          <w:sz w:val="24"/>
          <w:szCs w:val="24"/>
        </w:rPr>
        <w:t xml:space="preserve">LOST CREEK GATHERING COMPANY, LLC </w:t>
      </w:r>
    </w:p>
    <w:p>
      <w:pPr>
        <w:pStyle w:val="Normal"/>
        <w:jc w:val="center"/>
        <w:rPr>
          <w:b/>
          <w:bCs/>
          <w:sz w:val="24"/>
          <w:szCs w:val="24"/>
        </w:rPr>
      </w:pPr>
      <w:r>
        <w:rPr>
          <w:b/>
          <w:bCs/>
          <w:sz w:val="24"/>
          <w:szCs w:val="24"/>
        </w:rPr>
        <w:t>C/O Merrick &amp; Company</w:t>
      </w:r>
    </w:p>
    <w:p>
      <w:pPr>
        <w:pStyle w:val="Normal"/>
        <w:jc w:val="center"/>
        <w:rPr>
          <w:b/>
          <w:bCs/>
          <w:sz w:val="24"/>
          <w:szCs w:val="24"/>
        </w:rPr>
      </w:pPr>
      <w:r>
        <w:rPr>
          <w:b/>
          <w:bCs/>
          <w:sz w:val="24"/>
          <w:szCs w:val="24"/>
        </w:rPr>
        <w:t>P.O. Box 22026</w:t>
      </w:r>
    </w:p>
    <w:p>
      <w:pPr>
        <w:pStyle w:val="Normal"/>
        <w:jc w:val="center"/>
        <w:rPr>
          <w:sz w:val="24"/>
          <w:szCs w:val="24"/>
        </w:rPr>
      </w:pPr>
      <w:r>
        <w:rPr>
          <w:b/>
          <w:bCs/>
          <w:sz w:val="24"/>
          <w:szCs w:val="24"/>
        </w:rPr>
        <w:t>Denver, CO 80222</w:t>
      </w:r>
    </w:p>
    <w:p>
      <w:pPr>
        <w:pStyle w:val="Normal"/>
        <w:jc w:val="center"/>
        <w:rPr>
          <w:sz w:val="24"/>
          <w:szCs w:val="24"/>
        </w:rPr>
      </w:pPr>
      <w:r>
        <w:rPr>
          <w:sz w:val="24"/>
          <w:szCs w:val="24"/>
        </w:rPr>
      </w:r>
    </w:p>
    <w:p>
      <w:pPr>
        <w:pStyle w:val="Normal"/>
        <w:rPr>
          <w:sz w:val="20"/>
          <w:szCs w:val="20"/>
        </w:rPr>
      </w:pPr>
      <w:r>
        <w:rPr>
          <w:sz w:val="20"/>
          <w:szCs w:val="20"/>
        </w:rPr>
      </w:r>
    </w:p>
    <w:p>
      <w:pPr>
        <w:pStyle w:val="Normal"/>
        <w:rPr/>
      </w:pPr>
      <w:r>
        <w:rPr/>
        <w:t>October 12, 1999</w:t>
      </w:r>
    </w:p>
    <w:p>
      <w:pPr>
        <w:pStyle w:val="Normal"/>
        <w:rPr/>
      </w:pPr>
      <w:r>
        <w:rPr/>
      </w:r>
    </w:p>
    <w:p>
      <w:pPr>
        <w:pStyle w:val="Normal"/>
        <w:rPr/>
      </w:pPr>
      <w:r>
        <w:rPr/>
      </w:r>
    </w:p>
    <w:p>
      <w:pPr>
        <w:pStyle w:val="Normal"/>
        <w:rPr/>
      </w:pPr>
      <w:r>
        <w:rPr/>
        <w:t>Merrick &amp; Company</w:t>
      </w:r>
    </w:p>
    <w:p>
      <w:pPr>
        <w:pStyle w:val="Normal"/>
        <w:rPr/>
      </w:pPr>
      <w:r>
        <w:rPr/>
        <w:t>P.O. Box 22026</w:t>
      </w:r>
    </w:p>
    <w:p>
      <w:pPr>
        <w:pStyle w:val="Normal"/>
        <w:rPr/>
      </w:pPr>
      <w:r>
        <w:rPr/>
        <w:t>Denver, CO 80222</w:t>
      </w:r>
    </w:p>
    <w:p>
      <w:pPr>
        <w:pStyle w:val="Normal"/>
        <w:rPr/>
      </w:pPr>
      <w:r>
        <w:rPr/>
      </w:r>
    </w:p>
    <w:p>
      <w:pPr>
        <w:pStyle w:val="Normal"/>
        <w:rPr/>
      </w:pPr>
      <w:r>
        <w:rPr/>
      </w:r>
    </w:p>
    <w:p>
      <w:pPr>
        <w:pStyle w:val="Normal"/>
        <w:rPr/>
      </w:pPr>
      <w:r>
        <w:rPr/>
        <w:t>Attention:  Mr. James G. Taylor</w:t>
      </w:r>
    </w:p>
    <w:p>
      <w:pPr>
        <w:pStyle w:val="Normal"/>
        <w:ind w:firstLine="720" w:end="0"/>
        <w:rPr/>
      </w:pPr>
      <w:r>
        <w:rPr/>
      </w:r>
    </w:p>
    <w:p>
      <w:pPr>
        <w:pStyle w:val="Normal"/>
        <w:ind w:firstLine="720" w:end="0"/>
        <w:rPr/>
      </w:pPr>
      <w:r>
        <w:rPr/>
      </w:r>
    </w:p>
    <w:p>
      <w:pPr>
        <w:pStyle w:val="Normal"/>
        <w:rPr/>
      </w:pPr>
      <w:r>
        <w:rPr/>
        <w:t>RE:  Private Landowners - Lonnie Claytor (Approx. 1,240 Rods)</w:t>
      </w:r>
    </w:p>
    <w:p>
      <w:pPr>
        <w:pStyle w:val="Normal"/>
        <w:ind w:start="158" w:end="0"/>
        <w:rPr/>
      </w:pPr>
      <w:r>
        <w:rPr/>
        <w:t xml:space="preserve">                                      </w:t>
      </w:r>
      <w:r>
        <w:rPr/>
        <w:t>Jennifer McIntosh (Approx. 350 Rods)</w:t>
      </w:r>
    </w:p>
    <w:p>
      <w:pPr>
        <w:pStyle w:val="Normal"/>
        <w:ind w:start="158" w:end="0"/>
        <w:rPr/>
      </w:pPr>
      <w:r>
        <w:rPr/>
        <w:t xml:space="preserve">                                      </w:t>
      </w:r>
      <w:r>
        <w:rPr/>
        <w:t>Virginia McIntosh (Approx. 1,580 Rods)</w:t>
      </w:r>
    </w:p>
    <w:p>
      <w:pPr>
        <w:pStyle w:val="Normal"/>
        <w:ind w:start="158" w:end="0"/>
        <w:rPr/>
      </w:pPr>
      <w:r>
        <w:rPr/>
        <w:t xml:space="preserve">       </w:t>
      </w:r>
    </w:p>
    <w:p>
      <w:pPr>
        <w:pStyle w:val="Normal"/>
        <w:rPr/>
      </w:pPr>
      <w:r>
        <w:rPr/>
      </w:r>
    </w:p>
    <w:p>
      <w:pPr>
        <w:pStyle w:val="Normal"/>
        <w:rPr/>
      </w:pPr>
      <w:r>
        <w:rPr/>
        <w:t>Dear Jim:</w:t>
      </w:r>
    </w:p>
    <w:p>
      <w:pPr>
        <w:pStyle w:val="Normal"/>
        <w:rPr/>
      </w:pPr>
      <w:r>
        <w:rPr/>
      </w:r>
    </w:p>
    <w:p>
      <w:pPr>
        <w:pStyle w:val="Normal"/>
        <w:rPr/>
      </w:pPr>
      <w:r>
        <w:rPr/>
        <w:t>Pursuant to prior correspondence and numerous discussions pertaining to right-of-way acquisition from the above private owners, I called Gerald Nemec on October 8, 1999, at your request.  We confirmed our client’s permission to make the following changes to the PRIVATE RIGHT-OF-WAY GRANTS for Lonnie Claytor and Jennifer McIntosh:</w:t>
      </w:r>
    </w:p>
    <w:p>
      <w:pPr>
        <w:pStyle w:val="Normal"/>
        <w:rPr/>
      </w:pPr>
      <w:r>
        <w:rPr/>
      </w:r>
    </w:p>
    <w:p>
      <w:pPr>
        <w:pStyle w:val="Normal"/>
        <w:numPr>
          <w:ilvl w:val="0"/>
          <w:numId w:val="1"/>
        </w:numPr>
        <w:tabs>
          <w:tab w:val="clear" w:pos="720"/>
          <w:tab w:val="left" w:pos="0" w:leader="none"/>
        </w:tabs>
        <w:ind w:hanging="0" w:start="360" w:end="0"/>
        <w:rPr/>
      </w:pPr>
      <w:r>
        <w:rPr/>
        <w:t>The introduction may be altered to include one pipeline only and to exclude telecommunication lines.</w:t>
      </w:r>
    </w:p>
    <w:p>
      <w:pPr>
        <w:pStyle w:val="Normal"/>
        <w:rPr/>
      </w:pPr>
      <w:r>
        <w:rPr/>
      </w:r>
    </w:p>
    <w:p>
      <w:pPr>
        <w:pStyle w:val="Normal"/>
        <w:numPr>
          <w:ilvl w:val="0"/>
          <w:numId w:val="2"/>
        </w:numPr>
        <w:tabs>
          <w:tab w:val="clear" w:pos="720"/>
          <w:tab w:val="left" w:pos="0" w:leader="none"/>
        </w:tabs>
        <w:ind w:hanging="360" w:start="1080" w:end="0"/>
        <w:rPr/>
      </w:pPr>
      <w:r>
        <w:rPr/>
        <w:t>Paragraphs 1 and 9 may be deleted, thus eliminating the MEMORANDUM OF PRIVATE RIGHT OF WAY GRANT and POWER OF ATTORNEY, and also resulting in full payment with no option.</w:t>
      </w:r>
    </w:p>
    <w:p>
      <w:pPr>
        <w:pStyle w:val="Normal"/>
        <w:rPr/>
      </w:pPr>
      <w:r>
        <w:rPr/>
      </w:r>
    </w:p>
    <w:p>
      <w:pPr>
        <w:pStyle w:val="Normal"/>
        <w:numPr>
          <w:ilvl w:val="0"/>
          <w:numId w:val="3"/>
        </w:numPr>
        <w:tabs>
          <w:tab w:val="clear" w:pos="720"/>
          <w:tab w:val="left" w:pos="0" w:leader="none"/>
        </w:tabs>
        <w:ind w:hanging="360" w:start="1080" w:end="0"/>
        <w:rPr/>
      </w:pPr>
      <w:r>
        <w:rPr/>
        <w:t xml:space="preserve">Paragraph 2 may be altered to define the temporary work space in Exhibit A and will read as follows:  “The Right-of-Way herein granted shall be fifty feet (50.0’) in width, same being twenty-five feet (25.0’) on each side of the centerline and in addition, Grantee shall have the right to use all temporary work space as depicted or described in </w:t>
      </w:r>
      <w:r>
        <w:rPr>
          <w:u w:val="single"/>
        </w:rPr>
        <w:t>Exhibit A.</w:t>
      </w:r>
      <w:r>
        <w:rPr/>
        <w:t xml:space="preserve">  The additional space shall constitute the construction boundaries of the Right-of-Way.”</w:t>
      </w:r>
    </w:p>
    <w:p>
      <w:pPr>
        <w:pStyle w:val="Normal"/>
        <w:rPr/>
      </w:pPr>
      <w:r>
        <w:rPr/>
      </w:r>
    </w:p>
    <w:p>
      <w:pPr>
        <w:pStyle w:val="Normal"/>
        <w:numPr>
          <w:ilvl w:val="0"/>
          <w:numId w:val="4"/>
        </w:numPr>
        <w:tabs>
          <w:tab w:val="clear" w:pos="720"/>
          <w:tab w:val="left" w:pos="0" w:leader="none"/>
        </w:tabs>
        <w:ind w:hanging="360" w:start="1080" w:end="0"/>
        <w:rPr/>
      </w:pPr>
      <w:r>
        <w:rPr/>
        <w:t xml:space="preserve">Paragraphs 11, 12 and  14 may also be deleted.  I will, however attempt to preserve the “severability” portion of Paragraph 14. </w:t>
      </w:r>
    </w:p>
    <w:p>
      <w:pPr>
        <w:pStyle w:val="Normal"/>
        <w:rPr/>
      </w:pPr>
      <w:r>
        <w:rPr/>
      </w:r>
    </w:p>
    <w:p>
      <w:pPr>
        <w:pStyle w:val="Normal"/>
        <w:numPr>
          <w:ilvl w:val="0"/>
          <w:numId w:val="5"/>
        </w:numPr>
        <w:tabs>
          <w:tab w:val="clear" w:pos="720"/>
          <w:tab w:val="left" w:pos="0" w:leader="none"/>
        </w:tabs>
        <w:ind w:hanging="360" w:start="1080" w:end="0"/>
        <w:rPr/>
      </w:pPr>
      <w:r>
        <w:rPr/>
        <w:t>Paragraph 17, entitled “Tenant’s and Lienholder’s Consent”,  may be modified to state that Grantee will assist in obtaining consent.</w:t>
      </w:r>
    </w:p>
    <w:p>
      <w:pPr>
        <w:pStyle w:val="Normal"/>
        <w:rPr/>
      </w:pPr>
      <w:r>
        <w:rPr/>
      </w:r>
    </w:p>
    <w:p>
      <w:pPr>
        <w:pStyle w:val="Normal"/>
        <w:rPr/>
      </w:pPr>
      <w:r>
        <w:rPr/>
        <w:t>I stated that I would not change or modify Paragraph 3 entitled “Ingress &amp; Egress and Obstructions”.</w:t>
      </w:r>
    </w:p>
    <w:p>
      <w:pPr>
        <w:pStyle w:val="Normal"/>
        <w:rPr/>
      </w:pPr>
      <w:r>
        <w:rPr/>
      </w:r>
    </w:p>
    <w:p>
      <w:pPr>
        <w:pStyle w:val="Normal"/>
        <w:rPr/>
      </w:pPr>
      <w:r>
        <w:rPr/>
        <w:t xml:space="preserve">I recommended that we should be allowed to delete Paragraph 8, entitled “Damages Limitation”, for all of the above referenced landowners.  Mr. Nemec stated that he would seek approval, but was not sure if he could.  Today he indicated that we could delete Paragraph 8 for the Virginia McIntosh easement, only.  Paragraph 12, entitled “Arbitration”, will also be deleted from the Virginia McIntosh easement.  </w:t>
      </w:r>
      <w:r>
        <w:rPr>
          <w:u w:val="single"/>
        </w:rPr>
        <w:t>We do not have client’s permission to delete paragraph 8 from the Lonnie Claytor and Jennifer McIntosh easements.</w:t>
      </w:r>
    </w:p>
    <w:p>
      <w:pPr>
        <w:pStyle w:val="Normal"/>
        <w:rPr>
          <w:u w:val="single"/>
        </w:rPr>
      </w:pPr>
      <w:r>
        <w:rPr>
          <w:u w:val="single"/>
        </w:rPr>
      </w:r>
    </w:p>
    <w:p>
      <w:pPr>
        <w:pStyle w:val="Normal"/>
        <w:rPr/>
      </w:pPr>
      <w:r>
        <w:rPr/>
        <w:t>Sincerely:</w:t>
      </w:r>
    </w:p>
    <w:p>
      <w:pPr>
        <w:pStyle w:val="Normal"/>
        <w:rPr/>
      </w:pPr>
      <w:r>
        <w:rPr/>
      </w:r>
    </w:p>
    <w:p>
      <w:pPr>
        <w:pStyle w:val="Normal"/>
        <w:rPr/>
      </w:pPr>
      <w:r>
        <w:rPr/>
        <w:t>Joseph E. Russo</w:t>
      </w:r>
    </w:p>
    <w:p>
      <w:pPr>
        <w:pStyle w:val="Normal"/>
        <w:rPr/>
      </w:pPr>
      <w:r>
        <w:rPr/>
        <w:t>Right-Of-Way Agent</w:t>
      </w:r>
    </w:p>
    <w:p>
      <w:pPr>
        <w:pStyle w:val="Normal"/>
        <w:rPr/>
      </w:pPr>
      <w:r>
        <w:rPr/>
      </w:r>
    </w:p>
    <w:p>
      <w:pPr>
        <w:pStyle w:val="Normal"/>
        <w:rPr/>
      </w:pPr>
      <w:r>
        <w:rPr/>
        <w:t>JER/Enclosures</w:t>
      </w:r>
    </w:p>
    <w:p>
      <w:pPr>
        <w:pStyle w:val="Normal"/>
        <w:rPr/>
      </w:pPr>
      <w:r>
        <w:rPr/>
        <w:t>CC:  Gerald Nemec</w:t>
      </w:r>
    </w:p>
    <w:sectPr>
      <w:type w:val="nextPage"/>
      <w:pgSz w:w="12240" w:h="15840"/>
      <w:pgMar w:left="1800" w:right="1800" w:gutter="0" w:header="0" w:top="1440" w:footer="0" w:bottom="108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3"/>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4"/>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5"/>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18"/>
      <w:szCs w:val="18"/>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1999-09-29T12:49:00Z</dcterms:created>
  <dc:creator>Thomas J. O'Brien</dc:creator>
  <dc:description/>
  <dc:language>en-CA</dc:language>
  <cp:lastModifiedBy>Thomas J. O'Brien</cp:lastModifiedBy>
  <cp:lastPrinted>1999-10-13T12:20:00Z</cp:lastPrinted>
  <dcterms:modified xsi:type="dcterms:W3CDTF">1999-10-13T15:54:00Z</dcterms:modified>
  <cp:revision>13</cp:revision>
  <dc:subject/>
  <dc:title>ESTIMATE WORKSHEET</dc:title>
</cp:coreProperties>
</file>