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sz w:val="22"/>
        </w:rPr>
      </w:pPr>
      <w:r>
        <w:rPr>
          <w:spacing w:val="-140"/>
          <w:sz w:val="72"/>
        </w:rPr>
        <w:drawing>
          <wp:inline distT="0" distB="0" distL="0" distR="0">
            <wp:extent cx="6402070" cy="821690"/>
            <wp:effectExtent l="0" t="0" r="0" b="0"/>
            <wp:docPr id="1" name="IEPA%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PA%20logo" descr="" title=""/>
                    <pic:cNvPicPr>
                      <a:picLocks noChangeAspect="1" noChangeArrowheads="1"/>
                    </pic:cNvPicPr>
                  </pic:nvPicPr>
                  <pic:blipFill>
                    <a:blip r:embed="rId2"/>
                    <a:srcRect l="-5" t="-39" r="-5" b="-39"/>
                    <a:stretch>
                      <a:fillRect/>
                    </a:stretch>
                  </pic:blipFill>
                  <pic:spPr bwMode="auto">
                    <a:xfrm>
                      <a:off x="0" y="0"/>
                      <a:ext cx="6402070" cy="821690"/>
                    </a:xfrm>
                    <a:prstGeom prst="rect">
                      <a:avLst/>
                    </a:prstGeom>
                    <a:noFill/>
                  </pic:spPr>
                </pic:pic>
              </a:graphicData>
            </a:graphic>
          </wp:inline>
        </w:drawing>
      </w:r>
    </w:p>
    <w:p>
      <w:pPr>
        <w:pStyle w:val="Normal"/>
        <w:autoSpaceDE w:val="false"/>
        <w:rPr>
          <w:sz w:val="22"/>
        </w:rPr>
      </w:pPr>
      <w:r>
        <w:rPr>
          <w:sz w:val="22"/>
        </w:rPr>
      </w:r>
    </w:p>
    <w:p>
      <w:pPr>
        <w:pStyle w:val="Normal"/>
        <w:autoSpaceDE w:val="false"/>
        <w:ind w:hanging="180" w:start="180" w:end="0"/>
        <w:rPr>
          <w:sz w:val="22"/>
        </w:rPr>
      </w:pPr>
      <w:r>
        <w:rPr>
          <w:sz w:val="22"/>
        </w:rPr>
        <w:t>March 16, 2001</w:t>
      </w:r>
    </w:p>
    <w:p>
      <w:pPr>
        <w:pStyle w:val="Normal"/>
        <w:autoSpaceDE w:val="false"/>
        <w:rPr>
          <w:sz w:val="22"/>
        </w:rPr>
      </w:pPr>
      <w:r>
        <w:rPr>
          <w:sz w:val="22"/>
        </w:rPr>
      </w:r>
    </w:p>
    <w:p>
      <w:pPr>
        <w:pStyle w:val="Normal"/>
        <w:autoSpaceDE w:val="false"/>
        <w:rPr>
          <w:sz w:val="22"/>
        </w:rPr>
      </w:pPr>
      <w:r>
        <w:rPr>
          <w:sz w:val="22"/>
        </w:rPr>
        <w:t>Michael Kahn</w:t>
      </w:r>
    </w:p>
    <w:p>
      <w:pPr>
        <w:pStyle w:val="Normal"/>
        <w:autoSpaceDE w:val="false"/>
        <w:rPr>
          <w:sz w:val="22"/>
        </w:rPr>
      </w:pPr>
      <w:r>
        <w:rPr>
          <w:sz w:val="22"/>
        </w:rPr>
        <w:t>Chairman</w:t>
      </w:r>
    </w:p>
    <w:p>
      <w:pPr>
        <w:pStyle w:val="Normal"/>
        <w:autoSpaceDE w:val="false"/>
        <w:rPr>
          <w:sz w:val="22"/>
        </w:rPr>
      </w:pPr>
      <w:r>
        <w:rPr>
          <w:sz w:val="22"/>
        </w:rPr>
        <w:t>California Independent System Operator</w:t>
      </w:r>
    </w:p>
    <w:p>
      <w:pPr>
        <w:pStyle w:val="Normal"/>
        <w:autoSpaceDE w:val="false"/>
        <w:rPr>
          <w:sz w:val="22"/>
        </w:rPr>
      </w:pPr>
      <w:r>
        <w:rPr>
          <w:sz w:val="22"/>
        </w:rPr>
        <w:t>151 Blue Ravine Road</w:t>
      </w:r>
    </w:p>
    <w:p>
      <w:pPr>
        <w:pStyle w:val="Normal"/>
        <w:autoSpaceDE w:val="false"/>
        <w:rPr>
          <w:sz w:val="22"/>
        </w:rPr>
      </w:pPr>
      <w:r>
        <w:rPr>
          <w:sz w:val="22"/>
        </w:rPr>
        <w:t>Folsom, CA 95630</w:t>
      </w:r>
    </w:p>
    <w:p>
      <w:pPr>
        <w:pStyle w:val="Normal"/>
        <w:autoSpaceDE w:val="false"/>
        <w:rPr>
          <w:sz w:val="22"/>
        </w:rPr>
      </w:pPr>
      <w:r>
        <w:rPr>
          <w:sz w:val="22"/>
        </w:rPr>
      </w:r>
    </w:p>
    <w:p>
      <w:pPr>
        <w:pStyle w:val="Normal"/>
        <w:autoSpaceDE w:val="false"/>
        <w:jc w:val="both"/>
        <w:rPr>
          <w:sz w:val="22"/>
        </w:rPr>
      </w:pPr>
      <w:r>
        <w:rPr>
          <w:sz w:val="22"/>
        </w:rPr>
        <w:t>Dear Chairman Kahn:</w:t>
      </w:r>
    </w:p>
    <w:p>
      <w:pPr>
        <w:pStyle w:val="Normal"/>
        <w:autoSpaceDE w:val="false"/>
        <w:jc w:val="both"/>
        <w:rPr>
          <w:sz w:val="22"/>
        </w:rPr>
      </w:pPr>
      <w:r>
        <w:rPr>
          <w:sz w:val="22"/>
        </w:rPr>
      </w:r>
    </w:p>
    <w:p>
      <w:pPr>
        <w:pStyle w:val="Normal"/>
        <w:autoSpaceDE w:val="false"/>
        <w:jc w:val="both"/>
        <w:rPr>
          <w:sz w:val="22"/>
        </w:rPr>
      </w:pPr>
      <w:r>
        <w:rPr>
          <w:sz w:val="22"/>
        </w:rPr>
        <w:t xml:space="preserve">This letter is in response to your invitation made at the March 15, 2001 ISO Board meeting to submit additional recommendations of members to the ISO Market Repair Team. We greatly appreciate the Board’s consideration of our public comments and are encouraged by the motion that was approved. </w:t>
      </w:r>
    </w:p>
    <w:p>
      <w:pPr>
        <w:pStyle w:val="Normal"/>
        <w:autoSpaceDE w:val="false"/>
        <w:jc w:val="both"/>
        <w:rPr>
          <w:sz w:val="22"/>
        </w:rPr>
      </w:pPr>
      <w:r>
        <w:rPr>
          <w:sz w:val="22"/>
        </w:rPr>
      </w:r>
    </w:p>
    <w:p>
      <w:pPr>
        <w:pStyle w:val="BodyText"/>
        <w:rPr>
          <w:rFonts w:ascii="Times New Roman" w:hAnsi="Times New Roman" w:cs="Times New Roman"/>
          <w:sz w:val="22"/>
        </w:rPr>
      </w:pPr>
      <w:r>
        <w:rPr>
          <w:rFonts w:cs="Times New Roman" w:ascii="Times New Roman" w:hAnsi="Times New Roman"/>
          <w:sz w:val="22"/>
        </w:rPr>
        <w:t>We are confident that the Board, regardless of the direction chosen for either group, will require that a full budget and cost-benefit analysis is disclosed and discussed within public forum. Historically this is the way all projects have been handled at the ISO with only specific legal contract negations happening in Executive Session. There may want to also be a disclosure and/or review of all members of both the Market Repair Team (MRT) and Market Design Group (MDG) to insure to all market participants and Californians that there are no conflicts of interest or no potential conflicts that may result in a skewed outcome. At very least their conflicts should be fully disclosed to the Board in public session.</w:t>
      </w:r>
    </w:p>
    <w:p>
      <w:pPr>
        <w:pStyle w:val="BodyText"/>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sz w:val="22"/>
        </w:rPr>
      </w:pPr>
      <w:r>
        <w:rPr>
          <w:rFonts w:cs="Times New Roman" w:ascii="Times New Roman" w:hAnsi="Times New Roman"/>
          <w:sz w:val="22"/>
        </w:rPr>
        <w:t xml:space="preserve">As indicated in our public comment IEP believes that there is a great need for a more diverse MRT and MDG.  This can be accomplished in two ways, the first being the expansion of the economist based MDT and the second being the establishment of a formal Stakeholder Advisory Group within the MRT. This group would be responsible for reporting the Board on issues related to the MRT and proposals set forth by the MDG. It is crucial that both of these steps are implemented in order to insure the short and long term success of the California Market and the overall best result for Californians. </w:t>
      </w:r>
    </w:p>
    <w:p>
      <w:pPr>
        <w:pStyle w:val="Normal"/>
        <w:autoSpaceDE w:val="false"/>
        <w:jc w:val="both"/>
        <w:rPr>
          <w:rFonts w:ascii="Times New Roman" w:hAnsi="Times New Roman" w:cs="Times New Roman"/>
          <w:sz w:val="22"/>
        </w:rPr>
      </w:pPr>
      <w:r>
        <w:rPr>
          <w:rFonts w:cs="Times New Roman"/>
          <w:sz w:val="22"/>
        </w:rPr>
      </w:r>
    </w:p>
    <w:p>
      <w:pPr>
        <w:pStyle w:val="BodyText2"/>
        <w:rPr/>
      </w:pPr>
      <w:r>
        <w:rPr/>
        <w:t xml:space="preserve">The MDG is currently; exclusively composed of economists and by design that has some strengths and weaknesses. If it is the intention to keep that group academic than it is crucial that a broader group of economists that have various different opinions should be considered.  The establishment of a comprehensive group will insure a balanced result.  One of the challenges of having a group solely composed of economists is the lack of real world experience in operating the grid and maintaining reliability through markets, which are the ISO’s primary roles.  Having a participant on the MDG with real-world ISO operational experience will be critical to its success. If this position is not added there may be serious operational and reliability consequences to whichever result is proposed that the economists may not even be aware.  </w:t>
      </w:r>
    </w:p>
    <w:p>
      <w:pPr>
        <w:pStyle w:val="Normal"/>
        <w:autoSpaceDE w:val="false"/>
        <w:jc w:val="both"/>
        <w:rPr>
          <w:sz w:val="22"/>
        </w:rPr>
      </w:pPr>
      <w:r>
        <w:rPr>
          <w:sz w:val="22"/>
        </w:rPr>
      </w:r>
    </w:p>
    <w:p>
      <w:pPr>
        <w:pStyle w:val="Normal"/>
        <w:autoSpaceDE w:val="false"/>
        <w:jc w:val="both"/>
        <w:rPr>
          <w:sz w:val="22"/>
        </w:rPr>
      </w:pPr>
      <w:r>
        <w:rPr>
          <w:sz w:val="22"/>
        </w:rPr>
        <w:t xml:space="preserve">In response to your request to submit additional names for the MDG, IEP would like to suggest two highly- respected economists to be added: Robert Weisenmiller, Ph.D. of MRW &amp; Associates and Craig Roach, Ph.D. of Boston Pacific.  Dr. Weisenmiller is a Co-Founder and Principal of MRW&amp; Associates, which was established in 1986.  He is responsible for overall management of MRW's technical and economic analyses and has provided extensive analyses on energy markets and regulation, particularly the West Coast power and fuels markets, for various end-users, financial institutions, gas pipelines and producers, Qualified Facility (QF) developers, State governments and Federal agencies. He has also provided extensive expert witness testimony in numerous California and FERC regulatory proceedings and also in various civil litigation and arbitration proceedings, concerning utility resource planning, gas markets and rates, power pricing for QF projects, need for power, marginal cost analysis, revenue allocation and rate design, implications of utility mergers, and California regulatory policies. </w:t>
      </w:r>
    </w:p>
    <w:p>
      <w:pPr>
        <w:pStyle w:val="Normal"/>
        <w:tabs>
          <w:tab w:val="left" w:pos="-1440" w:leader="none"/>
          <w:tab w:val="left" w:pos="-720" w:leader="none"/>
          <w:tab w:val="left" w:pos="0" w:leader="none"/>
          <w:tab w:val="left" w:pos="394" w:leader="none"/>
          <w:tab w:val="left" w:pos="537" w:leader="none"/>
          <w:tab w:val="left" w:pos="720" w:leader="none"/>
          <w:tab w:val="left" w:pos="1042" w:leader="none"/>
          <w:tab w:val="left" w:pos="1440" w:leader="none"/>
        </w:tabs>
        <w:suppressAutoHyphens w:val="true"/>
        <w:rPr>
          <w:sz w:val="22"/>
        </w:rPr>
      </w:pPr>
      <w:r>
        <w:rPr>
          <w:sz w:val="22"/>
        </w:rPr>
      </w:r>
    </w:p>
    <w:p>
      <w:pPr>
        <w:pStyle w:val="BodyText2"/>
        <w:tabs>
          <w:tab w:val="left" w:pos="-1440" w:leader="none"/>
          <w:tab w:val="left" w:pos="-720" w:leader="none"/>
          <w:tab w:val="left" w:pos="0" w:leader="none"/>
          <w:tab w:val="left" w:pos="394" w:leader="none"/>
          <w:tab w:val="left" w:pos="537" w:leader="none"/>
          <w:tab w:val="left" w:pos="720" w:leader="none"/>
          <w:tab w:val="left" w:pos="1042" w:leader="none"/>
          <w:tab w:val="left" w:pos="1440" w:leader="none"/>
        </w:tabs>
        <w:suppressAutoHyphens w:val="true"/>
        <w:autoSpaceDE w:val="true"/>
        <w:rPr/>
      </w:pPr>
      <w:r>
        <w:rPr/>
        <w:t xml:space="preserve">Dr. Roach has served as an expert witness on the electricity and natural gas businesses in ten cases before the Federal Energy Regulatory Commission, and has presented testimony or comments to thirteen state commissions plus a Canadian provincial board and a City Council.  He also has served as an expert in arbitrations, in Federal Court, in State Court, and before a Congressional Sub-Committee. The great variety of topics in Craig’s testimonies documents the breadth and depth of his experience in the electricity and natural gas businesses.  He has served as an expert witness on issues such as market power (antitrust), electric industry restructuring, ratemaking by both electric and gas utilities, finance for both competitive power suppliers and utilities, system reliability, and contract abrogation.  </w:t>
      </w:r>
    </w:p>
    <w:p>
      <w:pPr>
        <w:pStyle w:val="Normal"/>
        <w:autoSpaceDE w:val="false"/>
        <w:jc w:val="both"/>
        <w:rPr>
          <w:sz w:val="22"/>
        </w:rPr>
      </w:pPr>
      <w:r>
        <w:rPr>
          <w:sz w:val="22"/>
        </w:rPr>
      </w:r>
    </w:p>
    <w:p>
      <w:pPr>
        <w:pStyle w:val="Normal"/>
        <w:autoSpaceDE w:val="false"/>
        <w:jc w:val="both"/>
        <w:rPr>
          <w:sz w:val="22"/>
        </w:rPr>
      </w:pPr>
      <w:r>
        <w:rPr>
          <w:sz w:val="22"/>
        </w:rPr>
        <w:t>We have also attached their resumes and other applicable information for your review.</w:t>
      </w:r>
    </w:p>
    <w:p>
      <w:pPr>
        <w:pStyle w:val="Normal"/>
        <w:autoSpaceDE w:val="false"/>
        <w:jc w:val="both"/>
        <w:rPr>
          <w:sz w:val="22"/>
        </w:rPr>
      </w:pPr>
      <w:r>
        <w:rPr>
          <w:sz w:val="22"/>
        </w:rPr>
      </w:r>
    </w:p>
    <w:p>
      <w:pPr>
        <w:pStyle w:val="BodyText2"/>
        <w:rPr/>
      </w:pPr>
      <w:r>
        <w:rPr/>
        <w:t xml:space="preserve">As indicated above, there is also a strong need for a Stakeholder Advisory Group (SAG) as a core part of the MRT. This SAG should be a small group, composed of key Market Participants including a regional perspective representative from a neighboring control area, a representative of each large stakeholder group (generators/marketers, municipals, IOU’s, Large Customers, and Small Consumers.), an investment banker and a representative from the risk management business.  It will also be crucial to have an ISO operations and systems development person on this team in order to advise of possible system conflicts and implementation issues. If a stakeholder group is established we will be happy to assist in way possible to provide qualified representatives to the committee. </w:t>
      </w:r>
    </w:p>
    <w:p>
      <w:pPr>
        <w:pStyle w:val="BodyText2"/>
        <w:rPr/>
      </w:pPr>
      <w:r>
        <w:rPr/>
      </w:r>
    </w:p>
    <w:p>
      <w:pPr>
        <w:pStyle w:val="Normal"/>
        <w:autoSpaceDE w:val="false"/>
        <w:jc w:val="both"/>
        <w:rPr>
          <w:sz w:val="22"/>
        </w:rPr>
      </w:pPr>
      <w:r>
        <w:rPr>
          <w:sz w:val="22"/>
        </w:rPr>
        <w:t xml:space="preserve">By adopting the above proposed expansions to both the MRT and the MDG the goal set forth in the March 14, 2001 memo to “offer the Board a balanced and timely evaluation of all design proposals” will be able to be achieved. </w:t>
      </w:r>
    </w:p>
    <w:p>
      <w:pPr>
        <w:pStyle w:val="Normal"/>
        <w:autoSpaceDE w:val="false"/>
        <w:jc w:val="both"/>
        <w:rPr>
          <w:sz w:val="22"/>
        </w:rPr>
      </w:pPr>
      <w:r>
        <w:rPr>
          <w:sz w:val="22"/>
        </w:rPr>
      </w:r>
    </w:p>
    <w:p>
      <w:pPr>
        <w:pStyle w:val="Normal"/>
        <w:autoSpaceDE w:val="false"/>
        <w:jc w:val="both"/>
        <w:rPr/>
      </w:pPr>
      <w:r>
        <w:rPr>
          <w:sz w:val="22"/>
        </w:rPr>
        <w:t xml:space="preserve">Thank you again for allowing us to submit our comments and we look forward to working with you in expanding this group.  Please feel free to contact me at any time with any questions, requests or comments  (phone 916-448-9499 or e-mail </w:t>
      </w:r>
      <w:hyperlink r:id="rId3">
        <w:r>
          <w:rPr>
            <w:rStyle w:val="Hyperlink"/>
            <w:sz w:val="22"/>
          </w:rPr>
          <w:t>kaplan@iepa.com</w:t>
        </w:r>
      </w:hyperlink>
      <w:r>
        <w:rPr>
          <w:sz w:val="22"/>
        </w:rPr>
        <w:t xml:space="preserve">). </w:t>
      </w:r>
    </w:p>
    <w:p>
      <w:pPr>
        <w:pStyle w:val="Normal"/>
        <w:autoSpaceDE w:val="false"/>
        <w:jc w:val="both"/>
        <w:rPr>
          <w:sz w:val="22"/>
        </w:rPr>
      </w:pPr>
      <w:r>
        <w:rPr>
          <w:sz w:val="22"/>
        </w:rPr>
      </w:r>
    </w:p>
    <w:p>
      <w:pPr>
        <w:pStyle w:val="Normal"/>
        <w:autoSpaceDE w:val="false"/>
        <w:jc w:val="both"/>
        <w:rPr>
          <w:sz w:val="22"/>
        </w:rPr>
      </w:pPr>
      <w:r>
        <w:rPr>
          <w:sz w:val="22"/>
        </w:rPr>
        <w:t>Sincerely,</w:t>
      </w:r>
    </w:p>
    <w:p>
      <w:pPr>
        <w:pStyle w:val="Normal"/>
        <w:autoSpaceDE w:val="false"/>
        <w:jc w:val="both"/>
        <w:rPr>
          <w:sz w:val="22"/>
        </w:rPr>
      </w:pPr>
      <w:r>
        <w:rPr>
          <w:sz w:val="22"/>
        </w:rPr>
      </w:r>
    </w:p>
    <w:p>
      <w:pPr>
        <w:pStyle w:val="Heading1"/>
        <w:ind w:hanging="0" w:start="0"/>
        <w:rPr/>
      </w:pPr>
      <w:r>
        <w:rPr/>
        <w:t>Katie Kaplan</w:t>
      </w:r>
    </w:p>
    <w:p>
      <w:pPr>
        <w:pStyle w:val="Normal"/>
        <w:rPr>
          <w:sz w:val="16"/>
        </w:rPr>
      </w:pPr>
      <w:r>
        <w:rPr>
          <w:sz w:val="16"/>
        </w:rPr>
      </w:r>
    </w:p>
    <w:p>
      <w:pPr>
        <w:pStyle w:val="Normal"/>
        <w:autoSpaceDE w:val="false"/>
        <w:jc w:val="both"/>
        <w:rPr>
          <w:sz w:val="22"/>
        </w:rPr>
      </w:pPr>
      <w:r>
        <w:rPr>
          <w:sz w:val="22"/>
        </w:rPr>
        <w:t>Katie Kaplan</w:t>
      </w:r>
    </w:p>
    <w:p>
      <w:pPr>
        <w:pStyle w:val="Normal"/>
        <w:autoSpaceDE w:val="false"/>
        <w:jc w:val="both"/>
        <w:rPr>
          <w:sz w:val="22"/>
        </w:rPr>
      </w:pPr>
      <w:r>
        <w:rPr>
          <w:sz w:val="22"/>
        </w:rPr>
        <w:t>Manager of State Policy Affairs</w:t>
      </w:r>
    </w:p>
    <w:p>
      <w:pPr>
        <w:pStyle w:val="Normal"/>
        <w:autoSpaceDE w:val="false"/>
        <w:jc w:val="both"/>
        <w:rPr>
          <w:sz w:val="22"/>
        </w:rPr>
      </w:pPr>
      <w:r>
        <w:rPr>
          <w:sz w:val="22"/>
        </w:rPr>
      </w:r>
    </w:p>
    <w:p>
      <w:pPr>
        <w:pStyle w:val="Normal"/>
        <w:autoSpaceDE w:val="false"/>
        <w:jc w:val="both"/>
        <w:rPr>
          <w:sz w:val="22"/>
        </w:rPr>
      </w:pPr>
      <w:r>
        <w:rPr>
          <w:sz w:val="22"/>
        </w:rPr>
        <w:t xml:space="preserve"> </w:t>
      </w:r>
    </w:p>
    <w:p>
      <w:pPr>
        <w:pStyle w:val="Normal"/>
        <w:jc w:val="both"/>
        <w:rPr>
          <w:sz w:val="22"/>
        </w:rPr>
      </w:pPr>
      <w:r>
        <w:rPr>
          <w:sz w:val="22"/>
        </w:rPr>
        <w:t>Cc:</w:t>
        <w:tab/>
        <w:t>Terry Winter, President and CEO, CA-ISO</w:t>
      </w:r>
    </w:p>
    <w:p>
      <w:pPr>
        <w:pStyle w:val="Normal"/>
        <w:ind w:firstLine="720" w:end="0"/>
        <w:jc w:val="both"/>
        <w:rPr>
          <w:sz w:val="22"/>
        </w:rPr>
      </w:pPr>
      <w:r>
        <w:rPr>
          <w:sz w:val="22"/>
        </w:rPr>
        <w:t>Elena Schmid, Vice President of Strategic Planning, CA-ISO</w:t>
      </w:r>
    </w:p>
    <w:p>
      <w:pPr>
        <w:pStyle w:val="Normal"/>
        <w:jc w:val="both"/>
        <w:rPr>
          <w:sz w:val="22"/>
        </w:rPr>
      </w:pPr>
      <w:r>
        <w:rPr>
          <w:sz w:val="22"/>
        </w:rPr>
        <w:tab/>
        <w:t>Maria Conteras-Sweet, ISO Board Member</w:t>
      </w:r>
    </w:p>
    <w:p>
      <w:pPr>
        <w:pStyle w:val="Normal"/>
        <w:ind w:firstLine="720" w:end="0"/>
        <w:jc w:val="both"/>
        <w:rPr>
          <w:sz w:val="22"/>
        </w:rPr>
      </w:pPr>
      <w:r>
        <w:rPr>
          <w:sz w:val="22"/>
        </w:rPr>
        <w:t>Carl Guardino, ISO Board Member</w:t>
      </w:r>
    </w:p>
    <w:p>
      <w:pPr>
        <w:pStyle w:val="Normal"/>
        <w:ind w:firstLine="720" w:end="0"/>
        <w:jc w:val="both"/>
        <w:rPr>
          <w:sz w:val="22"/>
        </w:rPr>
      </w:pPr>
      <w:r>
        <w:rPr>
          <w:sz w:val="22"/>
        </w:rPr>
        <w:t>Tal Finney, ISO Board Member</w:t>
      </w:r>
    </w:p>
    <w:p>
      <w:pPr>
        <w:pStyle w:val="Normal"/>
        <w:autoSpaceDE w:val="false"/>
        <w:jc w:val="both"/>
        <w:rPr>
          <w:sz w:val="22"/>
        </w:rPr>
      </w:pPr>
      <w:r>
        <w:rPr>
          <w:sz w:val="22"/>
        </w:rPr>
        <w:tab/>
        <w:t>Michael Florio, ISO Board Member</w:t>
      </w:r>
    </w:p>
    <w:p>
      <w:pPr>
        <w:pStyle w:val="Normal"/>
        <w:autoSpaceDE w:val="false"/>
        <w:jc w:val="both"/>
        <w:rPr>
          <w:sz w:val="22"/>
        </w:rPr>
      </w:pPr>
      <w:r>
        <w:rPr>
          <w:sz w:val="22"/>
        </w:rPr>
      </w:r>
    </w:p>
    <w:p>
      <w:pPr>
        <w:pStyle w:val="Normal"/>
        <w:autoSpaceDE w:val="false"/>
        <w:jc w:val="both"/>
        <w:rPr>
          <w:sz w:val="22"/>
        </w:rPr>
      </w:pPr>
      <w:r>
        <w:rPr>
          <w:sz w:val="22"/>
        </w:rPr>
        <w:t xml:space="preserve"> </w:t>
      </w:r>
    </w:p>
    <w:p>
      <w:pPr>
        <w:pStyle w:val="Normal"/>
        <w:jc w:val="both"/>
        <w:rPr>
          <w:sz w:val="22"/>
        </w:rPr>
      </w:pPr>
      <w:r>
        <w:rPr>
          <w:sz w:val="22"/>
        </w:rPr>
      </w:r>
    </w:p>
    <w:sectPr>
      <w:type w:val="nextPage"/>
      <w:pgSz w:w="12240" w:h="15840"/>
      <w:pgMar w:left="1260" w:right="108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ronet">
    <w:charset w:val="00" w:characterSet="windows-1252"/>
    <w:family w:val="script"/>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both"/>
      <w:outlineLvl w:val="0"/>
    </w:pPr>
    <w:rPr>
      <w:rFonts w:ascii="Coronet" w:hAnsi="Coronet" w:cs="Coronet"/>
      <w:b/>
      <w:i/>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jc w:val="both"/>
    </w:pPr>
    <w:rPr>
      <w:rFonts w:ascii="Tahoma" w:hAnsi="Tahoma" w:cs="Tahom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kaplan@iepa.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2001-03-16T21:50:00Z</dcterms:created>
  <dc:creator>Katie Kaplan</dc:creator>
  <dc:description/>
  <dc:language>en-CA</dc:language>
  <cp:lastModifiedBy>Katie Kaplan</cp:lastModifiedBy>
  <cp:lastPrinted>2001-03-16T19:16:00Z</cp:lastPrinted>
  <dcterms:modified xsi:type="dcterms:W3CDTF">2001-03-17T00:58:00Z</dcterms:modified>
  <cp:revision>15</cp:revision>
  <dc:subject/>
  <dc:title>March 16, 2001</dc:title>
</cp:coreProperties>
</file>