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spacing w:lineRule="auto" w:line="240" w:before="0" w:after="0"/>
        <w:rPr>
          <w:sz w:val="24"/>
        </w:rPr>
      </w:pPr>
      <w:r>
        <w:rPr>
          <w:sz w:val="24"/>
        </w:rPr>
      </w:r>
    </w:p>
    <w:p>
      <w:pPr>
        <w:pStyle w:val="Body"/>
        <w:spacing w:lineRule="auto" w:line="240" w:before="0" w:after="0"/>
        <w:rPr>
          <w:sz w:val="24"/>
        </w:rPr>
      </w:pPr>
      <w:r>
        <w:rPr>
          <w:sz w:val="24"/>
        </w:rPr>
      </w:r>
    </w:p>
    <w:p>
      <w:pPr>
        <w:pStyle w:val="Body"/>
        <w:spacing w:lineRule="auto" w:line="240" w:before="0" w:after="0"/>
        <w:rPr>
          <w:sz w:val="24"/>
        </w:rPr>
      </w:pPr>
      <w:r>
        <w:rPr>
          <w:sz w:val="24"/>
        </w:rPr>
      </w:r>
    </w:p>
    <w:p>
      <w:pPr>
        <w:pStyle w:val="Body"/>
        <w:spacing w:lineRule="auto" w:line="240" w:before="0" w:after="0"/>
        <w:rPr>
          <w:sz w:val="24"/>
        </w:rPr>
      </w:pPr>
      <w:r>
        <w:rPr>
          <w:sz w:val="24"/>
        </w:rPr>
      </w:r>
    </w:p>
    <w:p>
      <w:pPr>
        <w:pStyle w:val="Body"/>
        <w:spacing w:lineRule="auto" w:line="240" w:before="0" w:after="0"/>
        <w:rPr>
          <w:sz w:val="24"/>
        </w:rPr>
      </w:pPr>
      <w:r>
        <w:rPr>
          <w:sz w:val="24"/>
        </w:rPr>
      </w:r>
    </w:p>
    <w:p>
      <w:pPr>
        <w:pStyle w:val="Body"/>
        <w:spacing w:lineRule="auto" w:line="240" w:before="0" w:after="0"/>
        <w:rPr>
          <w:sz w:val="24"/>
        </w:rPr>
      </w:pPr>
      <w:r>
        <w:rPr>
          <w:sz w:val="24"/>
        </w:rPr>
      </w:r>
    </w:p>
    <w:p>
      <w:pPr>
        <w:pStyle w:val="Body"/>
        <w:spacing w:lineRule="auto" w:line="240" w:before="0" w:after="0"/>
        <w:rPr>
          <w:sz w:val="24"/>
        </w:rPr>
      </w:pPr>
      <w:r>
        <w:rPr>
          <w:sz w:val="24"/>
        </w:rPr>
      </w:r>
    </w:p>
    <w:p>
      <w:pPr>
        <w:pStyle w:val="Body"/>
        <w:spacing w:lineRule="auto" w:line="240" w:before="0" w:after="0"/>
        <w:rPr>
          <w:sz w:val="24"/>
        </w:rPr>
      </w:pPr>
      <w:r>
        <w:rPr>
          <w:sz w:val="24"/>
        </w:rPr>
      </w:r>
    </w:p>
    <w:p>
      <w:pPr>
        <w:pStyle w:val="Body"/>
        <w:spacing w:lineRule="auto" w:line="240" w:before="0" w:after="0"/>
        <w:rPr>
          <w:sz w:val="24"/>
        </w:rPr>
      </w:pPr>
      <w:r>
        <w:rPr>
          <w:sz w:val="24"/>
        </w:rPr>
      </w:r>
    </w:p>
    <w:p>
      <w:pPr>
        <w:pStyle w:val="Body"/>
        <w:spacing w:lineRule="auto" w:line="240" w:before="0" w:after="0"/>
        <w:rPr>
          <w:sz w:val="24"/>
        </w:rPr>
      </w:pPr>
      <w:r>
        <w:rPr>
          <w:sz w:val="24"/>
        </w:rPr>
      </w:r>
    </w:p>
    <w:p>
      <w:pPr>
        <w:pStyle w:val="Body"/>
        <w:spacing w:lineRule="auto" w:line="240" w:before="0" w:after="0"/>
        <w:rPr>
          <w:sz w:val="24"/>
        </w:rPr>
      </w:pPr>
      <w:r>
        <w:rPr>
          <w:sz w:val="24"/>
        </w:rPr>
      </w:r>
    </w:p>
    <w:p>
      <w:pPr>
        <w:pStyle w:val="Body"/>
        <w:spacing w:lineRule="auto" w:line="240" w:before="0" w:after="0"/>
        <w:rPr>
          <w:sz w:val="24"/>
        </w:rPr>
      </w:pPr>
      <w:r>
        <w:rPr>
          <w:sz w:val="24"/>
        </w:rPr>
        <w:t>April 15, 2001</w:t>
      </w:r>
    </w:p>
    <w:p>
      <w:pPr>
        <w:pStyle w:val="Body"/>
        <w:spacing w:lineRule="auto" w:line="240" w:before="0" w:after="0"/>
        <w:jc w:val="start"/>
        <w:rPr>
          <w:b/>
          <w:sz w:val="24"/>
        </w:rPr>
      </w:pPr>
      <w:r>
        <w:rPr>
          <w:b/>
          <w:sz w:val="24"/>
        </w:rPr>
      </w:r>
    </w:p>
    <w:p>
      <w:pPr>
        <w:pStyle w:val="Body"/>
        <w:spacing w:lineRule="auto" w:line="240" w:before="0" w:after="0"/>
        <w:jc w:val="start"/>
        <w:rPr>
          <w:b/>
          <w:sz w:val="24"/>
        </w:rPr>
      </w:pPr>
      <w:r>
        <w:rPr>
          <w:b/>
          <w:sz w:val="24"/>
        </w:rPr>
      </w:r>
    </w:p>
    <w:p>
      <w:pPr>
        <w:pStyle w:val="Body"/>
        <w:spacing w:lineRule="auto" w:line="240" w:before="0" w:after="0"/>
        <w:jc w:val="start"/>
        <w:rPr/>
      </w:pPr>
      <w:r>
        <w:rPr>
          <w:b/>
          <w:sz w:val="24"/>
        </w:rPr>
        <w:t>GREENFIELD SHIPPING COMPANY LIMITED</w:t>
      </w:r>
      <w:r>
        <w:rPr>
          <w:sz w:val="24"/>
        </w:rPr>
        <w:br/>
        <w:t>c/o Mitsui O.S.K. Lines, Ltd.</w:t>
        <w:br/>
        <w:t>2-1-1 Toranomon, Minatu-ko</w:t>
      </w:r>
    </w:p>
    <w:p>
      <w:pPr>
        <w:pStyle w:val="Body"/>
        <w:spacing w:lineRule="auto" w:line="240" w:before="0" w:after="0"/>
        <w:jc w:val="start"/>
        <w:rPr>
          <w:sz w:val="24"/>
        </w:rPr>
      </w:pPr>
      <w:r>
        <w:rPr>
          <w:sz w:val="24"/>
        </w:rPr>
        <w:t>Tokyo, Japan 105-8688</w:t>
      </w:r>
    </w:p>
    <w:p>
      <w:pPr>
        <w:pStyle w:val="Body"/>
        <w:spacing w:lineRule="auto" w:line="240" w:before="0" w:after="0"/>
        <w:jc w:val="start"/>
        <w:rPr>
          <w:b/>
          <w:sz w:val="24"/>
        </w:rPr>
      </w:pPr>
      <w:r>
        <w:rPr>
          <w:b/>
          <w:sz w:val="24"/>
        </w:rPr>
      </w:r>
    </w:p>
    <w:p>
      <w:pPr>
        <w:pStyle w:val="Body"/>
        <w:spacing w:lineRule="auto" w:line="240" w:before="0" w:after="0"/>
        <w:jc w:val="start"/>
        <w:rPr>
          <w:b/>
          <w:sz w:val="24"/>
        </w:rPr>
      </w:pPr>
      <w:r>
        <w:rPr>
          <w:b/>
          <w:sz w:val="24"/>
        </w:rPr>
        <w:t>Attention: Managing Director, Liquefied Gas Carrier Division</w:t>
      </w:r>
    </w:p>
    <w:p>
      <w:pPr>
        <w:pStyle w:val="Body"/>
        <w:spacing w:lineRule="auto" w:line="240" w:before="0" w:after="0"/>
        <w:jc w:val="start"/>
        <w:rPr>
          <w:b/>
          <w:sz w:val="24"/>
        </w:rPr>
      </w:pPr>
      <w:r>
        <w:rPr>
          <w:b/>
          <w:sz w:val="24"/>
        </w:rPr>
      </w:r>
    </w:p>
    <w:p>
      <w:pPr>
        <w:pStyle w:val="Body"/>
        <w:spacing w:lineRule="auto" w:line="240" w:before="0" w:after="0"/>
        <w:jc w:val="start"/>
        <w:rPr>
          <w:b/>
          <w:sz w:val="24"/>
        </w:rPr>
      </w:pPr>
      <w:r>
        <w:rPr>
          <w:b/>
          <w:sz w:val="24"/>
        </w:rPr>
        <w:t>By Telefax: +81 3 3587 7748</w:t>
      </w:r>
    </w:p>
    <w:p>
      <w:pPr>
        <w:pStyle w:val="Body"/>
        <w:spacing w:lineRule="auto" w:line="240" w:before="0" w:after="0"/>
        <w:rPr>
          <w:b/>
          <w:sz w:val="24"/>
        </w:rPr>
      </w:pPr>
      <w:r>
        <w:rPr>
          <w:b/>
          <w:sz w:val="24"/>
        </w:rPr>
      </w:r>
    </w:p>
    <w:p>
      <w:pPr>
        <w:pStyle w:val="Body"/>
        <w:spacing w:lineRule="auto" w:line="240" w:before="0" w:after="0"/>
        <w:rPr>
          <w:sz w:val="24"/>
        </w:rPr>
      </w:pPr>
      <w:r>
        <w:rPr>
          <w:sz w:val="24"/>
        </w:rPr>
      </w:r>
    </w:p>
    <w:p>
      <w:pPr>
        <w:pStyle w:val="Body"/>
        <w:spacing w:lineRule="auto" w:line="240" w:before="0" w:after="0"/>
        <w:rPr>
          <w:sz w:val="24"/>
        </w:rPr>
      </w:pPr>
      <w:r>
        <w:rPr>
          <w:sz w:val="24"/>
        </w:rPr>
        <w:t>Dear Iwata San,</w:t>
      </w:r>
    </w:p>
    <w:p>
      <w:pPr>
        <w:pStyle w:val="Body"/>
        <w:spacing w:lineRule="auto" w:line="240" w:before="0" w:after="0"/>
        <w:jc w:val="start"/>
        <w:rPr>
          <w:b/>
          <w:sz w:val="24"/>
        </w:rPr>
      </w:pPr>
      <w:r>
        <w:rPr>
          <w:b/>
          <w:sz w:val="24"/>
        </w:rPr>
      </w:r>
    </w:p>
    <w:p>
      <w:pPr>
        <w:pStyle w:val="Body"/>
        <w:spacing w:lineRule="auto" w:line="240" w:before="0" w:after="0"/>
        <w:jc w:val="start"/>
        <w:rPr>
          <w:b/>
          <w:sz w:val="24"/>
        </w:rPr>
      </w:pPr>
      <w:r>
        <w:rPr>
          <w:b/>
          <w:sz w:val="24"/>
        </w:rPr>
        <w:t>TIME CHARTER PARTY DATED JANUARY 18, 1999 BETWEEN DABHOL POWER COMPANY (DPC) AND GREENFIELD SHIPPING COMPANY LIMITED</w:t>
      </w:r>
    </w:p>
    <w:p>
      <w:pPr>
        <w:pStyle w:val="Body"/>
        <w:spacing w:lineRule="auto" w:line="240" w:before="0" w:after="0"/>
        <w:rPr>
          <w:b/>
          <w:sz w:val="24"/>
        </w:rPr>
      </w:pPr>
      <w:r>
        <w:rPr>
          <w:b/>
          <w:sz w:val="24"/>
        </w:rPr>
      </w:r>
    </w:p>
    <w:p>
      <w:pPr>
        <w:pStyle w:val="Body"/>
        <w:spacing w:lineRule="auto" w:line="240" w:before="0" w:after="0"/>
        <w:rPr/>
      </w:pPr>
      <w:r>
        <w:rPr>
          <w:sz w:val="24"/>
        </w:rPr>
        <w:t>In accordance with our obligations under the above Time Charter Party, we notify you of the following:</w:t>
      </w:r>
    </w:p>
    <w:p>
      <w:pPr>
        <w:pStyle w:val="Body"/>
        <w:spacing w:lineRule="auto" w:line="240" w:before="0" w:after="0"/>
        <w:rPr>
          <w:sz w:val="24"/>
        </w:rPr>
      </w:pPr>
      <w:r>
        <w:rPr>
          <w:sz w:val="24"/>
        </w:rPr>
      </w:r>
    </w:p>
    <w:p>
      <w:pPr>
        <w:pStyle w:val="Body"/>
        <w:numPr>
          <w:ilvl w:val="0"/>
          <w:numId w:val="1"/>
        </w:numPr>
        <w:spacing w:lineRule="auto" w:line="240" w:before="0" w:after="0"/>
        <w:rPr>
          <w:sz w:val="24"/>
        </w:rPr>
      </w:pPr>
      <w:r>
        <w:rPr>
          <w:sz w:val="24"/>
        </w:rPr>
        <w:t>Delivery of Ship</w:t>
      </w:r>
    </w:p>
    <w:p>
      <w:pPr>
        <w:pStyle w:val="Body"/>
        <w:tabs>
          <w:tab w:val="clear" w:pos="720"/>
          <w:tab w:val="left" w:pos="360" w:leader="none"/>
        </w:tabs>
        <w:spacing w:lineRule="auto" w:line="240" w:before="0" w:after="0"/>
        <w:ind w:hanging="360" w:start="360" w:end="0"/>
        <w:rPr>
          <w:sz w:val="24"/>
        </w:rPr>
      </w:pPr>
      <w:r>
        <w:rPr>
          <w:sz w:val="24"/>
        </w:rPr>
      </w:r>
    </w:p>
    <w:p>
      <w:pPr>
        <w:pStyle w:val="Body"/>
        <w:tabs>
          <w:tab w:val="clear" w:pos="720"/>
          <w:tab w:val="left" w:pos="360" w:leader="none"/>
        </w:tabs>
        <w:spacing w:lineRule="auto" w:line="240" w:before="0" w:after="0"/>
        <w:ind w:start="360" w:end="0"/>
        <w:rPr>
          <w:sz w:val="24"/>
        </w:rPr>
      </w:pPr>
      <w:r>
        <w:rPr>
          <w:sz w:val="24"/>
        </w:rPr>
        <w:t>Per Clause 6(a)(iii) of the Time Charter Party, DPC has chosen to reduce the existing 1-month Delivery Window and fix the Scheduled Delivery Date as November 15, 2001.</w:t>
      </w:r>
    </w:p>
    <w:p>
      <w:pPr>
        <w:pStyle w:val="Body"/>
        <w:spacing w:lineRule="auto" w:line="240" w:before="0" w:after="0"/>
        <w:ind w:hanging="360" w:start="360" w:end="0"/>
        <w:rPr>
          <w:sz w:val="24"/>
        </w:rPr>
      </w:pPr>
      <w:r>
        <w:rPr>
          <w:sz w:val="24"/>
        </w:rPr>
      </w:r>
    </w:p>
    <w:p>
      <w:pPr>
        <w:pStyle w:val="Body"/>
        <w:spacing w:lineRule="auto" w:line="240" w:before="0" w:after="0"/>
        <w:ind w:hanging="360" w:start="360" w:end="0"/>
        <w:rPr>
          <w:sz w:val="24"/>
        </w:rPr>
      </w:pPr>
      <w:r>
        <w:rPr>
          <w:sz w:val="24"/>
        </w:rPr>
        <w:t>2)</w:t>
        <w:tab/>
        <w:t>Potential Force Majeure Event</w:t>
      </w:r>
    </w:p>
    <w:p>
      <w:pPr>
        <w:pStyle w:val="Body"/>
        <w:spacing w:lineRule="auto" w:line="240" w:before="0" w:after="0"/>
        <w:ind w:hanging="360" w:start="360" w:end="0"/>
        <w:rPr>
          <w:sz w:val="24"/>
        </w:rPr>
      </w:pPr>
      <w:r>
        <w:rPr>
          <w:sz w:val="24"/>
        </w:rPr>
      </w:r>
    </w:p>
    <w:p>
      <w:pPr>
        <w:pStyle w:val="Body"/>
        <w:spacing w:lineRule="auto" w:line="240" w:before="0" w:after="0"/>
        <w:ind w:start="360" w:end="0"/>
        <w:rPr>
          <w:sz w:val="24"/>
        </w:rPr>
      </w:pPr>
      <w:r>
        <w:rPr>
          <w:sz w:val="24"/>
        </w:rPr>
        <w:t>We refer to the telephone conversation our Mr. Wayne Perry had with you earlier in the week in which we informed you of the incident that took place at the LNG Facility being constructed at Dabhol on the morning of April 9, 2001.</w:t>
      </w:r>
    </w:p>
    <w:p>
      <w:pPr>
        <w:pStyle w:val="Body"/>
        <w:spacing w:lineRule="auto" w:line="240" w:before="0" w:after="0"/>
        <w:ind w:hanging="360" w:start="360" w:end="0"/>
        <w:rPr>
          <w:sz w:val="24"/>
        </w:rPr>
      </w:pPr>
      <w:r>
        <w:rPr>
          <w:sz w:val="24"/>
        </w:rPr>
      </w:r>
    </w:p>
    <w:p>
      <w:pPr>
        <w:pStyle w:val="Body"/>
        <w:spacing w:lineRule="auto" w:line="240" w:before="0" w:after="0"/>
        <w:ind w:start="360" w:end="0"/>
        <w:rPr>
          <w:sz w:val="24"/>
        </w:rPr>
      </w:pPr>
      <w:r>
        <w:rPr>
          <w:sz w:val="24"/>
        </w:rPr>
        <w:t>The purpose of this communication is to give you notice of the incident as is required under Clause 27(b)(ii) of the Time Charter Party. We have already communicated the incident to you promptly and using the quickest possible means and now confirm the information in writing. We believe that the incident is a Project Force Majeure event and is likely to affect DPC’s ability to perform under the Time Charter Party.</w:t>
      </w:r>
    </w:p>
    <w:p>
      <w:pPr>
        <w:pStyle w:val="Body"/>
        <w:spacing w:lineRule="auto" w:line="240" w:before="0" w:after="0"/>
        <w:ind w:hanging="360" w:start="360" w:end="0"/>
        <w:rPr>
          <w:sz w:val="24"/>
        </w:rPr>
      </w:pPr>
      <w:r>
        <w:rPr>
          <w:sz w:val="24"/>
        </w:rPr>
      </w:r>
    </w:p>
    <w:p>
      <w:pPr>
        <w:pStyle w:val="Body"/>
        <w:spacing w:lineRule="auto" w:line="240" w:before="0" w:after="0"/>
        <w:ind w:start="360" w:end="0"/>
        <w:rPr>
          <w:sz w:val="24"/>
        </w:rPr>
      </w:pPr>
      <w:r>
        <w:rPr>
          <w:sz w:val="24"/>
        </w:rPr>
      </w:r>
    </w:p>
    <w:p>
      <w:pPr>
        <w:pStyle w:val="Body"/>
        <w:spacing w:lineRule="auto" w:line="240" w:before="0" w:after="0"/>
        <w:ind w:start="360" w:end="0"/>
        <w:rPr>
          <w:sz w:val="24"/>
        </w:rPr>
      </w:pPr>
      <w:r>
        <w:rPr>
          <w:sz w:val="24"/>
        </w:rPr>
      </w:r>
    </w:p>
    <w:p>
      <w:pPr>
        <w:pStyle w:val="Body"/>
        <w:spacing w:lineRule="auto" w:line="240" w:before="0" w:after="0"/>
        <w:ind w:start="360" w:end="0"/>
        <w:rPr>
          <w:sz w:val="24"/>
        </w:rPr>
      </w:pPr>
      <w:r>
        <w:rPr>
          <w:sz w:val="24"/>
        </w:rPr>
      </w:r>
    </w:p>
    <w:p>
      <w:pPr>
        <w:pStyle w:val="Body"/>
        <w:spacing w:lineRule="auto" w:line="240" w:before="0" w:after="0"/>
        <w:ind w:start="360" w:end="0"/>
        <w:rPr>
          <w:sz w:val="24"/>
        </w:rPr>
      </w:pPr>
      <w:r>
        <w:rPr>
          <w:sz w:val="24"/>
        </w:rPr>
      </w:r>
    </w:p>
    <w:p>
      <w:pPr>
        <w:pStyle w:val="Body"/>
        <w:spacing w:lineRule="auto" w:line="240" w:before="0" w:after="0"/>
        <w:ind w:start="360" w:end="0"/>
        <w:rPr>
          <w:b/>
          <w:sz w:val="24"/>
        </w:rPr>
      </w:pPr>
      <w:r>
        <w:rPr>
          <w:sz w:val="24"/>
        </w:rPr>
        <w:t>The incident occurred during the pneumatic testing of the two 32-inch LNG lines from the LNG Jetty to the storage tanks. There was a failure during the pneumatic test on the morning of April 9, 2001 in which there was extensive impact on the lines,</w:t>
      </w:r>
      <w:r>
        <w:rPr>
          <w:sz w:val="21"/>
        </w:rPr>
        <w:t xml:space="preserve"> </w:t>
      </w:r>
      <w:r>
        <w:rPr>
          <w:sz w:val="24"/>
        </w:rPr>
        <w:t>and the pipework supports and plinths have been damaged for a length of approximately 240 metres.</w:t>
      </w:r>
      <w:r>
        <w:rPr>
          <w:sz w:val="21"/>
        </w:rPr>
        <w:t xml:space="preserve"> </w:t>
      </w:r>
      <w:r>
        <w:rPr>
          <w:sz w:val="24"/>
        </w:rPr>
        <w:t xml:space="preserve"> Internal inspection of the pipelines from the point of failure to the shore is underway. We expect some impact on the schedule, which could be in the order of 3-months. A full Root Cause Analysis of the failure is underway and the Contractor is taking steps to mitigate the impact on schedule. </w:t>
      </w:r>
    </w:p>
    <w:p>
      <w:pPr>
        <w:pStyle w:val="Body"/>
        <w:spacing w:lineRule="auto" w:line="240" w:before="0" w:after="0"/>
        <w:ind w:hanging="360" w:start="360" w:end="0"/>
        <w:rPr>
          <w:b/>
          <w:sz w:val="24"/>
        </w:rPr>
      </w:pPr>
      <w:r>
        <w:rPr>
          <w:b/>
          <w:sz w:val="24"/>
        </w:rPr>
      </w:r>
    </w:p>
    <w:p>
      <w:pPr>
        <w:pStyle w:val="Body"/>
        <w:spacing w:lineRule="auto" w:line="240" w:before="0" w:after="0"/>
        <w:ind w:hanging="360" w:start="360" w:end="0"/>
        <w:rPr>
          <w:sz w:val="24"/>
        </w:rPr>
      </w:pPr>
      <w:r>
        <w:rPr>
          <w:sz w:val="24"/>
        </w:rPr>
        <w:tab/>
        <w:t>We shall promptly from time to time furnish to you such relevant information as is available to us appertaining to the above incident and shall furnish you with updated estimates of the impact on schedule of the LNG Facility.</w:t>
      </w:r>
    </w:p>
    <w:p>
      <w:pPr>
        <w:pStyle w:val="Body"/>
        <w:spacing w:lineRule="auto" w:line="240" w:before="0" w:after="0"/>
        <w:rPr>
          <w:sz w:val="24"/>
        </w:rPr>
      </w:pPr>
      <w:r>
        <w:rPr>
          <w:sz w:val="24"/>
        </w:rPr>
      </w:r>
    </w:p>
    <w:p>
      <w:pPr>
        <w:pStyle w:val="Body"/>
        <w:spacing w:lineRule="auto" w:line="240" w:before="0" w:after="0"/>
        <w:ind w:hanging="360" w:start="360" w:end="0"/>
        <w:rPr>
          <w:sz w:val="24"/>
        </w:rPr>
      </w:pPr>
      <w:r>
        <w:rPr>
          <w:sz w:val="24"/>
        </w:rPr>
        <w:t>3)</w:t>
        <w:tab/>
        <w:t>Sub-charter</w:t>
      </w:r>
    </w:p>
    <w:p>
      <w:pPr>
        <w:pStyle w:val="Body"/>
        <w:spacing w:lineRule="auto" w:line="240" w:before="0" w:after="0"/>
        <w:rPr>
          <w:sz w:val="24"/>
        </w:rPr>
      </w:pPr>
      <w:r>
        <w:rPr>
          <w:sz w:val="24"/>
        </w:rPr>
      </w:r>
    </w:p>
    <w:p>
      <w:pPr>
        <w:pStyle w:val="Body"/>
        <w:spacing w:lineRule="auto" w:line="240" w:before="0" w:after="0"/>
        <w:ind w:start="360" w:end="0"/>
        <w:rPr>
          <w:sz w:val="24"/>
        </w:rPr>
      </w:pPr>
      <w:r>
        <w:rPr>
          <w:sz w:val="24"/>
        </w:rPr>
        <w:t>As a risk mitigation measure we also acknowledge that we are looking at a sub-charter proposal with Enron, which if formalised would bring up an earlier delivery of the ship. We look forward to discussing this proposal in the near future with both Greenfield and the parties concerned.</w:t>
      </w:r>
    </w:p>
    <w:p>
      <w:pPr>
        <w:pStyle w:val="Body"/>
        <w:spacing w:lineRule="auto" w:line="240" w:before="0" w:after="0"/>
        <w:rPr>
          <w:sz w:val="24"/>
        </w:rPr>
      </w:pPr>
      <w:r>
        <w:rPr>
          <w:sz w:val="24"/>
        </w:rPr>
      </w:r>
    </w:p>
    <w:p>
      <w:pPr>
        <w:pStyle w:val="Body"/>
        <w:spacing w:lineRule="auto" w:line="240" w:before="0" w:after="0"/>
        <w:rPr>
          <w:sz w:val="24"/>
        </w:rPr>
      </w:pPr>
      <w:r>
        <w:rPr>
          <w:sz w:val="24"/>
        </w:rPr>
        <w:t>If you have any questions or comments concerning this notification, please do not hesitate to contact us.</w:t>
      </w:r>
    </w:p>
    <w:p>
      <w:pPr>
        <w:pStyle w:val="Body"/>
        <w:spacing w:lineRule="auto" w:line="240" w:before="0" w:after="0"/>
        <w:rPr>
          <w:sz w:val="24"/>
        </w:rPr>
      </w:pPr>
      <w:r>
        <w:rPr>
          <w:sz w:val="24"/>
        </w:rPr>
      </w:r>
    </w:p>
    <w:p>
      <w:pPr>
        <w:pStyle w:val="Body"/>
        <w:spacing w:lineRule="auto" w:line="240" w:before="0" w:after="0"/>
        <w:rPr>
          <w:sz w:val="24"/>
        </w:rPr>
      </w:pPr>
      <w:r>
        <w:rPr>
          <w:sz w:val="24"/>
        </w:rPr>
        <w:t>Yours faithfully,</w:t>
      </w:r>
    </w:p>
    <w:p>
      <w:pPr>
        <w:pStyle w:val="Body"/>
        <w:spacing w:lineRule="auto" w:line="240" w:before="0" w:after="0"/>
        <w:jc w:val="start"/>
        <w:rPr>
          <w:b/>
          <w:sz w:val="24"/>
        </w:rPr>
      </w:pPr>
      <w:r>
        <w:rPr>
          <w:b/>
          <w:sz w:val="24"/>
        </w:rPr>
        <w:t>For Dabhol Power Company</w:t>
        <w:br/>
      </w:r>
    </w:p>
    <w:p>
      <w:pPr>
        <w:pStyle w:val="Body"/>
        <w:spacing w:lineRule="auto" w:line="240" w:before="0" w:after="0"/>
        <w:jc w:val="start"/>
        <w:rPr>
          <w:b/>
          <w:sz w:val="24"/>
        </w:rPr>
      </w:pPr>
      <w:r>
        <w:rPr>
          <w:b/>
          <w:sz w:val="24"/>
        </w:rPr>
      </w:r>
    </w:p>
    <w:p>
      <w:pPr>
        <w:pStyle w:val="Body"/>
        <w:spacing w:lineRule="auto" w:line="240" w:before="0" w:after="0"/>
        <w:jc w:val="start"/>
        <w:rPr>
          <w:b/>
          <w:sz w:val="24"/>
        </w:rPr>
      </w:pPr>
      <w:r>
        <w:rPr>
          <w:b/>
          <w:sz w:val="24"/>
        </w:rPr>
      </w:r>
    </w:p>
    <w:p>
      <w:pPr>
        <w:pStyle w:val="Body"/>
        <w:spacing w:lineRule="auto" w:line="240" w:before="0" w:after="0"/>
        <w:jc w:val="start"/>
        <w:rPr>
          <w:b/>
          <w:sz w:val="24"/>
        </w:rPr>
      </w:pPr>
      <w:r>
        <w:rPr>
          <w:b/>
          <w:sz w:val="24"/>
        </w:rPr>
      </w:r>
    </w:p>
    <w:p>
      <w:pPr>
        <w:pStyle w:val="Body"/>
        <w:spacing w:lineRule="auto" w:line="240" w:before="0" w:after="0"/>
        <w:jc w:val="start"/>
        <w:rPr>
          <w:b/>
          <w:sz w:val="24"/>
        </w:rPr>
      </w:pPr>
      <w:r>
        <w:rPr>
          <w:b/>
          <w:sz w:val="24"/>
        </w:rPr>
        <w:t>Neil McGregor</w:t>
      </w:r>
    </w:p>
    <w:p>
      <w:pPr>
        <w:pStyle w:val="Body"/>
        <w:spacing w:lineRule="auto" w:line="240" w:before="0" w:after="0"/>
        <w:jc w:val="start"/>
        <w:rPr>
          <w:b/>
          <w:sz w:val="24"/>
        </w:rPr>
      </w:pPr>
      <w:r>
        <w:rPr>
          <w:b/>
          <w:sz w:val="24"/>
        </w:rPr>
        <w:t>President &amp; CEO</w:t>
      </w:r>
    </w:p>
    <w:sectPr>
      <w:headerReference w:type="default" r:id="rId2"/>
      <w:footerReference w:type="default" r:id="rId3"/>
      <w:type w:val="nextPage"/>
      <w:pgSz w:w="11906" w:h="16838"/>
      <w:pgMar w:left="1728" w:right="1440" w:gutter="0" w:header="1008" w:top="1440" w:footer="864" w:bottom="9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spacing w:lineRule="auto" w:line="288" w:before="0" w:after="140"/>
      <w:jc w:val="both"/>
    </w:pPr>
    <w:rPr>
      <w:kern w:val="2"/>
      <w:sz w:val="20"/>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2001-04-15T04:35:00Z</dcterms:created>
  <dc:creator>Shubh Shrivastava</dc:creator>
  <dc:description/>
  <dc:language>en-CA</dc:language>
  <cp:lastModifiedBy>Shubh Shrivastava</cp:lastModifiedBy>
  <cp:lastPrinted>2001-04-15T12:42:00Z</cp:lastPrinted>
  <dcterms:modified xsi:type="dcterms:W3CDTF">2001-04-15T04:43:00Z</dcterms:modified>
  <cp:revision>4</cp:revision>
  <dc:subject/>
  <dc:title>April 15, 2001</dc:title>
</cp:coreProperties>
</file>