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00"/>
        </w:rPr>
      </w:pPr>
      <w:r>
        <w:rPr>
          <w:color w:val="000000"/>
        </w:rPr>
        <w:t>November ___, 2001</w:t>
      </w:r>
    </w:p>
    <w:p>
      <w:pPr>
        <w:pStyle w:val="Normal"/>
        <w:rPr>
          <w:color w:val="000000"/>
        </w:rPr>
      </w:pPr>
      <w:r>
        <w:rPr>
          <w:color w:val="000000"/>
        </w:rPr>
        <w:t> </w:t>
      </w:r>
    </w:p>
    <w:p>
      <w:pPr>
        <w:pStyle w:val="Normal"/>
        <w:rPr>
          <w:color w:val="000000"/>
        </w:rPr>
      </w:pPr>
      <w:r>
        <w:rPr>
          <w:color w:val="000000"/>
        </w:rPr>
        <w:t>Dynegy Inc.</w:t>
      </w:r>
    </w:p>
    <w:p>
      <w:pPr>
        <w:pStyle w:val="Normal"/>
        <w:rPr>
          <w:color w:val="000000"/>
        </w:rPr>
      </w:pPr>
      <w:r>
        <w:rPr>
          <w:color w:val="000000"/>
        </w:rPr>
        <w:t>Stanford, Inc.</w:t>
      </w:r>
    </w:p>
    <w:p>
      <w:pPr>
        <w:pStyle w:val="Normal"/>
        <w:rPr>
          <w:color w:val="000000"/>
        </w:rPr>
      </w:pPr>
      <w:r>
        <w:rPr>
          <w:color w:val="000000"/>
        </w:rPr>
        <w:t>Sorin, Inc.</w:t>
      </w:r>
    </w:p>
    <w:p>
      <w:pPr>
        <w:pStyle w:val="Normal"/>
        <w:rPr>
          <w:color w:val="000000"/>
        </w:rPr>
      </w:pPr>
      <w:r>
        <w:rPr>
          <w:color w:val="000000"/>
        </w:rPr>
        <w:t>Badin, Inc.</w:t>
      </w:r>
    </w:p>
    <w:p>
      <w:pPr>
        <w:pStyle w:val="Normal"/>
        <w:rPr>
          <w:color w:val="000000"/>
        </w:rPr>
      </w:pPr>
      <w:r>
        <w:rPr>
          <w:color w:val="000000"/>
        </w:rPr>
        <w:t>c/o Dynegy Inc.</w:t>
      </w:r>
    </w:p>
    <w:p>
      <w:pPr>
        <w:pStyle w:val="Normal"/>
        <w:rPr>
          <w:color w:val="000000"/>
        </w:rPr>
      </w:pPr>
      <w:r>
        <w:rPr>
          <w:color w:val="000000"/>
        </w:rPr>
        <w:t>1000 Louisiana, Suite 5800</w:t>
      </w:r>
    </w:p>
    <w:p>
      <w:pPr>
        <w:pStyle w:val="Normal"/>
        <w:rPr>
          <w:color w:val="000000"/>
        </w:rPr>
      </w:pPr>
      <w:r>
        <w:rPr>
          <w:color w:val="000000"/>
        </w:rPr>
        <w:t>Houston, Texas 77002</w:t>
      </w:r>
    </w:p>
    <w:p>
      <w:pPr>
        <w:pStyle w:val="Normal"/>
        <w:rPr>
          <w:color w:val="000000"/>
        </w:rPr>
      </w:pPr>
      <w:r>
        <w:rPr>
          <w:color w:val="000000"/>
        </w:rPr>
        <w:t>Attn: General Counsel</w:t>
      </w:r>
    </w:p>
    <w:p>
      <w:pPr>
        <w:pStyle w:val="Normal"/>
        <w:rPr>
          <w:color w:val="000000"/>
        </w:rPr>
      </w:pPr>
      <w:r>
        <w:rPr>
          <w:color w:val="000000"/>
        </w:rPr>
        <w:t>Facsimile (713) 507-6808</w:t>
      </w:r>
    </w:p>
    <w:p>
      <w:pPr>
        <w:pStyle w:val="Normal"/>
        <w:rPr>
          <w:color w:val="000000"/>
        </w:rPr>
      </w:pPr>
      <w:r>
        <w:rPr>
          <w:color w:val="000000"/>
        </w:rPr>
        <w:t> </w:t>
      </w:r>
    </w:p>
    <w:p>
      <w:pPr>
        <w:pStyle w:val="Normal"/>
        <w:rPr/>
      </w:pPr>
      <w:r>
        <w:rPr>
          <w:color w:val="000000"/>
        </w:rPr>
        <w:t>Re: Agreement and Plan of Merger (“</w:t>
      </w:r>
      <w:r>
        <w:rPr>
          <w:color w:val="000000"/>
          <w:u w:val="single"/>
        </w:rPr>
        <w:t>Merger Agreement</w:t>
      </w:r>
      <w:r>
        <w:rPr>
          <w:color w:val="000000"/>
        </w:rPr>
        <w:t>”) among Dynegy Inc. (“</w:t>
      </w:r>
      <w:r>
        <w:rPr>
          <w:color w:val="000000"/>
          <w:u w:val="single"/>
        </w:rPr>
        <w:t>Dynegy</w:t>
      </w:r>
      <w:r>
        <w:rPr>
          <w:color w:val="000000"/>
        </w:rPr>
        <w:t>”), Stanford, Inc., Sorin, Inc., Badin, Inc. and Enron Corp. (“</w:t>
      </w:r>
      <w:r>
        <w:rPr>
          <w:color w:val="000000"/>
          <w:u w:val="single"/>
        </w:rPr>
        <w:t>Enron</w:t>
      </w:r>
      <w:r>
        <w:rPr>
          <w:color w:val="000000"/>
        </w:rPr>
        <w:t>”) dated as of November 9, 2001</w:t>
      </w:r>
    </w:p>
    <w:p>
      <w:pPr>
        <w:pStyle w:val="Normal"/>
        <w:rPr>
          <w:color w:val="000000"/>
        </w:rPr>
      </w:pPr>
      <w:r>
        <w:rPr>
          <w:color w:val="000000"/>
        </w:rPr>
        <w:t> </w:t>
      </w:r>
    </w:p>
    <w:p>
      <w:pPr>
        <w:pStyle w:val="Normal"/>
        <w:rPr>
          <w:color w:val="000000"/>
        </w:rPr>
      </w:pPr>
      <w:r>
        <w:rPr>
          <w:color w:val="000000"/>
        </w:rPr>
        <w:t>Ladies and Gentlemen:</w:t>
      </w:r>
    </w:p>
    <w:p>
      <w:pPr>
        <w:pStyle w:val="Normal"/>
        <w:rPr>
          <w:color w:val="000000"/>
        </w:rPr>
      </w:pPr>
      <w:r>
        <w:rPr>
          <w:color w:val="000000"/>
        </w:rPr>
        <w:t> </w:t>
      </w:r>
    </w:p>
    <w:p>
      <w:pPr>
        <w:pStyle w:val="Normal"/>
        <w:rPr>
          <w:color w:val="000000"/>
        </w:rPr>
      </w:pPr>
      <w:r>
        <w:rPr>
          <w:color w:val="000000"/>
        </w:rPr>
        <w:t>In our efforts to comply with the covenants under the Merger Agreement, this letter confirms our mutual understanding as to the following interpretations of the Merger Agreement:</w:t>
      </w:r>
    </w:p>
    <w:p>
      <w:pPr>
        <w:pStyle w:val="Normal"/>
        <w:rPr>
          <w:color w:val="000000"/>
        </w:rPr>
      </w:pPr>
      <w:r>
        <w:rPr>
          <w:color w:val="000000"/>
        </w:rPr>
        <w:t> </w:t>
      </w:r>
    </w:p>
    <w:p>
      <w:pPr>
        <w:pStyle w:val="Normal"/>
        <w:numPr>
          <w:ilvl w:val="0"/>
          <w:numId w:val="2"/>
        </w:numPr>
        <w:tabs>
          <w:tab w:val="clear" w:pos="720"/>
          <w:tab w:val="left" w:pos="360" w:leader="none"/>
        </w:tabs>
        <w:ind w:hanging="360" w:start="360" w:end="0"/>
        <w:rPr>
          <w:color w:val="000000"/>
        </w:rPr>
      </w:pPr>
      <w:r>
        <w:rPr>
          <w:color w:val="000000"/>
        </w:rPr>
        <w:t>In Section 7.1(d), references to “material” are intended to refer to matters that are material to Enron and its Subsidiaries taken as a whole.</w:t>
      </w:r>
    </w:p>
    <w:p>
      <w:pPr>
        <w:pStyle w:val="Normal"/>
        <w:tabs>
          <w:tab w:val="clear" w:pos="720"/>
          <w:tab w:val="left" w:pos="360" w:leader="none"/>
        </w:tabs>
        <w:ind w:hanging="360" w:start="360" w:end="0"/>
        <w:rPr>
          <w:color w:val="000000"/>
        </w:rPr>
      </w:pPr>
      <w:r>
        <w:rPr>
          <w:color w:val="000000"/>
        </w:rPr>
        <w:t> </w:t>
      </w:r>
    </w:p>
    <w:p>
      <w:pPr>
        <w:pStyle w:val="Normal"/>
        <w:numPr>
          <w:ilvl w:val="0"/>
          <w:numId w:val="2"/>
        </w:numPr>
        <w:tabs>
          <w:tab w:val="clear" w:pos="720"/>
          <w:tab w:val="left" w:pos="360" w:leader="none"/>
        </w:tabs>
        <w:ind w:hanging="360" w:start="360" w:end="0"/>
        <w:rPr>
          <w:color w:val="000000"/>
        </w:rPr>
      </w:pPr>
      <w:r>
        <w:rPr>
          <w:color w:val="000000"/>
          <w:sz w:val="14"/>
          <w:szCs w:val="14"/>
        </w:rPr>
        <w:t xml:space="preserve"> </w:t>
      </w:r>
      <w:r>
        <w:rPr>
          <w:color w:val="000000"/>
        </w:rPr>
        <w:t>Section 7.1(j) is not intended to prohibit Enron, or prohibit Enron’s permitting any of its Subsidiaries, from merging or consolidating with, or acquiring an equity interest in, or transferring assets with or among any consolidated Subsidiary.</w:t>
      </w:r>
    </w:p>
    <w:p>
      <w:pPr>
        <w:pStyle w:val="Normal"/>
        <w:tabs>
          <w:tab w:val="clear" w:pos="720"/>
          <w:tab w:val="left" w:pos="360" w:leader="none"/>
        </w:tabs>
        <w:ind w:hanging="360" w:start="360" w:end="0"/>
        <w:rPr>
          <w:color w:val="000000"/>
        </w:rPr>
      </w:pPr>
      <w:r>
        <w:rPr>
          <w:color w:val="000000"/>
        </w:rPr>
        <w:t> </w:t>
      </w:r>
    </w:p>
    <w:p>
      <w:pPr>
        <w:pStyle w:val="Normal"/>
        <w:numPr>
          <w:ilvl w:val="0"/>
          <w:numId w:val="2"/>
        </w:numPr>
        <w:tabs>
          <w:tab w:val="clear" w:pos="720"/>
          <w:tab w:val="left" w:pos="360" w:leader="none"/>
        </w:tabs>
        <w:ind w:hanging="360" w:start="360" w:end="0"/>
        <w:rPr>
          <w:color w:val="000000"/>
        </w:rPr>
      </w:pPr>
      <w:r>
        <w:rPr>
          <w:color w:val="000000"/>
        </w:rPr>
        <w:t>Section 7.1(n)(i) is not intended to prohibit Enron, or prohibit Enron’s permitting any of its Subsidiaries, from loaning funds to, or creating a payable from, any consolidated Subsidiary, and none of such actions will be deemed an incurrence of Debt by Enron or any of its Subsidiaries.</w:t>
      </w:r>
    </w:p>
    <w:p>
      <w:pPr>
        <w:pStyle w:val="Normal"/>
        <w:tabs>
          <w:tab w:val="clear" w:pos="720"/>
          <w:tab w:val="left" w:pos="360" w:leader="none"/>
        </w:tabs>
        <w:ind w:hanging="360" w:start="360" w:end="0"/>
        <w:rPr>
          <w:color w:val="000000"/>
        </w:rPr>
      </w:pPr>
      <w:r>
        <w:rPr>
          <w:color w:val="000000"/>
        </w:rPr>
        <w:t> </w:t>
      </w:r>
    </w:p>
    <w:p>
      <w:pPr>
        <w:pStyle w:val="Normal"/>
        <w:numPr>
          <w:ilvl w:val="0"/>
          <w:numId w:val="2"/>
        </w:numPr>
        <w:tabs>
          <w:tab w:val="clear" w:pos="720"/>
          <w:tab w:val="left" w:pos="360" w:leader="none"/>
        </w:tabs>
        <w:ind w:hanging="360" w:start="360" w:end="0"/>
        <w:rPr>
          <w:color w:val="000000"/>
        </w:rPr>
      </w:pPr>
      <w:r>
        <w:rPr>
          <w:color w:val="000000"/>
          <w:sz w:val="14"/>
          <w:szCs w:val="14"/>
        </w:rPr>
        <w:t xml:space="preserve"> </w:t>
      </w:r>
      <w:r>
        <w:rPr>
          <w:color w:val="000000"/>
        </w:rPr>
        <w:t>In Section 7.1(n)(x), the definition of Debt is not intended to include indemnification obligations or guarantees thereof or guarantees of performance obligations under trading contracts, in each case entered into in the ordinary course of business.</w:t>
      </w:r>
    </w:p>
    <w:p>
      <w:pPr>
        <w:pStyle w:val="Normal"/>
        <w:rPr>
          <w:color w:val="000000"/>
        </w:rPr>
      </w:pPr>
      <w:r>
        <w:rPr>
          <w:color w:val="000000"/>
        </w:rPr>
        <w:t> </w:t>
      </w:r>
    </w:p>
    <w:p>
      <w:pPr>
        <w:pStyle w:val="Normal"/>
        <w:rPr>
          <w:color w:val="000000"/>
        </w:rPr>
      </w:pPr>
      <w:r>
        <w:rPr>
          <w:color w:val="000000"/>
        </w:rPr>
        <w:t>This letter further confirms your consent to the following actions, which Enron and its Subsidiaries may take, and your agreement that such actions, if taken, will not violate or be considered breaches of the Merger Agreement.  This letter does not obligate Enron or its Subsidiaries to take any of the following actions.</w:t>
      </w:r>
    </w:p>
    <w:p>
      <w:pPr>
        <w:pStyle w:val="Normal"/>
        <w:rPr>
          <w:color w:val="000000"/>
        </w:rPr>
      </w:pPr>
      <w:r>
        <w:rPr>
          <w:color w:val="000000"/>
        </w:rPr>
        <w:t> </w:t>
      </w:r>
    </w:p>
    <w:p>
      <w:pPr>
        <w:pStyle w:val="Normal"/>
        <w:numPr>
          <w:ilvl w:val="0"/>
          <w:numId w:val="1"/>
        </w:numPr>
        <w:ind w:hanging="720" w:start="720" w:end="0"/>
        <w:rPr>
          <w:color w:val="000000"/>
        </w:rPr>
      </w:pPr>
      <w:r>
        <w:rPr>
          <w:color w:val="000000"/>
        </w:rPr>
        <w:t>Sale of metals business unit or divisions or parts thereof</w:t>
      </w:r>
    </w:p>
    <w:p>
      <w:pPr>
        <w:pStyle w:val="Normal"/>
        <w:numPr>
          <w:ilvl w:val="0"/>
          <w:numId w:val="1"/>
        </w:numPr>
        <w:ind w:hanging="720" w:start="720" w:end="0"/>
        <w:rPr>
          <w:color w:val="000000"/>
        </w:rPr>
      </w:pPr>
      <w:r>
        <w:rPr>
          <w:color w:val="000000"/>
        </w:rPr>
        <w:t>Sale of Enron’s forest products business or any part thereof</w:t>
      </w:r>
    </w:p>
    <w:p>
      <w:pPr>
        <w:pStyle w:val="Normal"/>
        <w:numPr>
          <w:ilvl w:val="0"/>
          <w:numId w:val="1"/>
        </w:numPr>
        <w:ind w:hanging="720" w:start="720" w:end="0"/>
        <w:rPr>
          <w:color w:val="000000"/>
        </w:rPr>
      </w:pPr>
      <w:r>
        <w:rPr>
          <w:color w:val="000000"/>
        </w:rPr>
        <w:t>Incurrence by Cuiaba of $360MM project debt (and any related guarantees by Enron Corp.)</w:t>
      </w:r>
    </w:p>
    <w:p>
      <w:pPr>
        <w:pStyle w:val="Normal"/>
        <w:numPr>
          <w:ilvl w:val="0"/>
          <w:numId w:val="1"/>
        </w:numPr>
        <w:tabs>
          <w:tab w:val="clear" w:pos="720"/>
        </w:tabs>
        <w:ind w:hanging="720" w:start="720" w:end="0"/>
        <w:rPr>
          <w:color w:val="000000"/>
        </w:rPr>
      </w:pPr>
      <w:r>
        <w:rPr>
          <w:color w:val="000000"/>
          <w:sz w:val="14"/>
          <w:szCs w:val="14"/>
        </w:rPr>
        <w:t xml:space="preserve"> </w:t>
      </w:r>
      <w:r>
        <w:rPr>
          <w:color w:val="000000"/>
        </w:rPr>
        <w:t>Cancellation of terminalling facilities (Elba Island) in connection with settlement   matters</w:t>
      </w:r>
    </w:p>
    <w:p>
      <w:pPr>
        <w:pStyle w:val="Normal"/>
        <w:rPr>
          <w:color w:val="000000"/>
        </w:rPr>
      </w:pPr>
      <w:r>
        <w:rPr>
          <w:color w:val="000000"/>
        </w:rPr>
        <w:t> </w:t>
      </w:r>
    </w:p>
    <w:p>
      <w:pPr>
        <w:pStyle w:val="Normal"/>
        <w:rPr>
          <w:color w:val="000000"/>
        </w:rPr>
      </w:pPr>
      <w:r>
        <w:rPr>
          <w:color w:val="000000"/>
        </w:rPr>
        <w:t> </w:t>
      </w:r>
    </w:p>
    <w:p>
      <w:pPr>
        <w:pStyle w:val="Normal"/>
        <w:rPr>
          <w:color w:val="000000"/>
        </w:rPr>
      </w:pPr>
      <w:r>
        <w:rPr>
          <w:color w:val="000000"/>
        </w:rPr>
        <w:t>Please evidence your agreement with the above by signing the enclosed copy of this letter and returning it to us.</w:t>
      </w:r>
    </w:p>
    <w:p>
      <w:pPr>
        <w:pStyle w:val="Normal"/>
        <w:rPr>
          <w:color w:val="000000"/>
        </w:rPr>
      </w:pPr>
      <w:r>
        <w:rPr>
          <w:color w:val="000000"/>
        </w:rPr>
        <w:t> </w:t>
      </w:r>
    </w:p>
    <w:p>
      <w:pPr>
        <w:pStyle w:val="Normal"/>
        <w:ind w:start="4320" w:end="0"/>
        <w:rPr>
          <w:color w:val="000000"/>
        </w:rPr>
      </w:pPr>
      <w:r>
        <w:rPr>
          <w:color w:val="000000"/>
        </w:rPr>
        <w:t>Very truly yours,</w:t>
      </w:r>
    </w:p>
    <w:p>
      <w:pPr>
        <w:pStyle w:val="Normal"/>
        <w:ind w:start="4320" w:end="0"/>
        <w:rPr>
          <w:color w:val="000000"/>
        </w:rPr>
      </w:pPr>
      <w:r>
        <w:rPr>
          <w:color w:val="000000"/>
        </w:rPr>
        <w:t>Enron Corp.</w:t>
      </w:r>
    </w:p>
    <w:p>
      <w:pPr>
        <w:pStyle w:val="Normal"/>
        <w:ind w:start="4320" w:end="0"/>
        <w:rPr>
          <w:color w:val="000000"/>
        </w:rPr>
      </w:pPr>
      <w:r>
        <w:rPr>
          <w:color w:val="000000"/>
        </w:rPr>
        <w:t> </w:t>
      </w:r>
    </w:p>
    <w:p>
      <w:pPr>
        <w:pStyle w:val="Normal"/>
        <w:ind w:start="4320" w:end="0"/>
        <w:rPr>
          <w:color w:val="000000"/>
        </w:rPr>
      </w:pPr>
      <w:r>
        <w:rPr>
          <w:color w:val="000000"/>
        </w:rPr>
        <w:t> </w:t>
      </w:r>
    </w:p>
    <w:p>
      <w:pPr>
        <w:pStyle w:val="Normal"/>
        <w:ind w:start="4320" w:end="0"/>
        <w:rPr>
          <w:color w:val="000000"/>
        </w:rPr>
      </w:pPr>
      <w:r>
        <w:rPr>
          <w:color w:val="000000"/>
        </w:rPr>
        <w:t> </w:t>
      </w:r>
    </w:p>
    <w:p>
      <w:pPr>
        <w:pStyle w:val="Normal"/>
        <w:ind w:start="4320" w:end="0"/>
        <w:rPr>
          <w:color w:val="000000"/>
        </w:rPr>
      </w:pPr>
      <w:r>
        <w:rPr>
          <w:color w:val="000000"/>
        </w:rPr>
        <w:t>By:</w:t>
      </w:r>
      <w:r>
        <w:rPr>
          <w:color w:val="000000"/>
          <w:u w:val="single"/>
        </w:rPr>
        <w:tab/>
        <w:tab/>
        <w:tab/>
        <w:tab/>
        <w:tab/>
        <w:tab/>
      </w:r>
    </w:p>
    <w:p>
      <w:pPr>
        <w:pStyle w:val="Normal"/>
        <w:ind w:start="4320" w:end="0"/>
        <w:rPr>
          <w:color w:val="000000"/>
        </w:rPr>
      </w:pPr>
      <w:r>
        <w:rPr>
          <w:color w:val="000000"/>
        </w:rPr>
        <w:t>Name:</w:t>
      </w:r>
      <w:r>
        <w:rPr>
          <w:color w:val="000000"/>
          <w:u w:val="single"/>
        </w:rPr>
        <w:tab/>
        <w:tab/>
        <w:tab/>
        <w:tab/>
        <w:tab/>
        <w:tab/>
      </w:r>
    </w:p>
    <w:p>
      <w:pPr>
        <w:pStyle w:val="Normal"/>
        <w:ind w:start="4320" w:end="0"/>
        <w:rPr>
          <w:color w:val="000000"/>
        </w:rPr>
      </w:pPr>
      <w:r>
        <w:rPr>
          <w:color w:val="000000"/>
        </w:rPr>
        <w:t>Title:</w:t>
      </w:r>
      <w:r>
        <w:rPr>
          <w:color w:val="000000"/>
          <w:u w:val="single"/>
        </w:rPr>
        <w:tab/>
        <w:tab/>
        <w:tab/>
        <w:tab/>
        <w:tab/>
        <w:tab/>
      </w:r>
    </w:p>
    <w:p>
      <w:pPr>
        <w:pStyle w:val="Normal"/>
        <w:rPr>
          <w:color w:val="000000"/>
        </w:rPr>
      </w:pPr>
      <w:r>
        <w:rPr>
          <w:color w:val="000000"/>
        </w:rPr>
        <w:t> </w:t>
      </w:r>
    </w:p>
    <w:p>
      <w:pPr>
        <w:pStyle w:val="Normal"/>
        <w:rPr>
          <w:color w:val="000000"/>
        </w:rPr>
      </w:pPr>
      <w:r>
        <w:rPr>
          <w:color w:val="000000"/>
        </w:rPr>
        <w:t>Acknowledged and agreed as or the ___ day of November 2001.</w:t>
      </w:r>
    </w:p>
    <w:p>
      <w:pPr>
        <w:pStyle w:val="Normal"/>
        <w:rPr>
          <w:color w:val="000000"/>
        </w:rPr>
      </w:pPr>
      <w:r>
        <w:rPr>
          <w:color w:val="000000"/>
        </w:rPr>
        <w:t> </w:t>
      </w:r>
    </w:p>
    <w:p>
      <w:pPr>
        <w:pStyle w:val="Normal"/>
        <w:rPr>
          <w:color w:val="000000"/>
        </w:rPr>
      </w:pPr>
      <w:r>
        <w:rPr>
          <w:color w:val="000000"/>
        </w:rPr>
        <w:t>Dynegy Inc.</w:t>
      </w:r>
    </w:p>
    <w:p>
      <w:pPr>
        <w:pStyle w:val="Normal"/>
        <w:rPr>
          <w:color w:val="000000"/>
        </w:rPr>
      </w:pPr>
      <w:r>
        <w:rPr>
          <w:color w:val="000000"/>
        </w:rPr>
        <w:t> </w:t>
      </w:r>
    </w:p>
    <w:p>
      <w:pPr>
        <w:pStyle w:val="Normal"/>
        <w:rPr>
          <w:color w:val="000000"/>
        </w:rPr>
      </w:pPr>
      <w:r>
        <w:rPr>
          <w:color w:val="000000"/>
        </w:rPr>
        <w:t> </w:t>
      </w:r>
    </w:p>
    <w:p>
      <w:pPr>
        <w:pStyle w:val="Normal"/>
        <w:rPr>
          <w:color w:val="000000"/>
        </w:rPr>
      </w:pPr>
      <w:r>
        <w:rPr>
          <w:color w:val="000000"/>
        </w:rPr>
        <w:t> </w:t>
      </w:r>
    </w:p>
    <w:p>
      <w:pPr>
        <w:pStyle w:val="Normal"/>
        <w:rPr>
          <w:color w:val="000000"/>
        </w:rPr>
      </w:pPr>
      <w:r>
        <w:rPr>
          <w:color w:val="000000"/>
        </w:rPr>
        <w:t>By:</w:t>
      </w:r>
      <w:r>
        <w:rPr>
          <w:color w:val="000000"/>
          <w:u w:val="single"/>
        </w:rPr>
        <w:tab/>
        <w:tab/>
        <w:tab/>
        <w:tab/>
        <w:tab/>
        <w:tab/>
      </w:r>
    </w:p>
    <w:p>
      <w:pPr>
        <w:pStyle w:val="Normal"/>
        <w:rPr>
          <w:color w:val="000000"/>
        </w:rPr>
      </w:pPr>
      <w:r>
        <w:rPr>
          <w:color w:val="000000"/>
        </w:rPr>
        <w:t>Name:</w:t>
      </w:r>
      <w:r>
        <w:rPr>
          <w:color w:val="000000"/>
          <w:u w:val="single"/>
        </w:rPr>
        <w:tab/>
        <w:tab/>
        <w:tab/>
        <w:tab/>
        <w:tab/>
        <w:tab/>
      </w:r>
    </w:p>
    <w:p>
      <w:pPr>
        <w:pStyle w:val="Normal"/>
        <w:rPr>
          <w:color w:val="000000"/>
        </w:rPr>
      </w:pPr>
      <w:r>
        <w:rPr>
          <w:color w:val="000000"/>
        </w:rPr>
        <w:t>Title:</w:t>
      </w:r>
      <w:r>
        <w:rPr>
          <w:color w:val="000000"/>
          <w:u w:val="single"/>
        </w:rPr>
        <w:tab/>
        <w:tab/>
        <w:tab/>
        <w:tab/>
        <w:tab/>
        <w:tab/>
      </w:r>
    </w:p>
    <w:p>
      <w:pPr>
        <w:pStyle w:val="Normal"/>
        <w:rPr>
          <w:color w:val="000000"/>
        </w:rPr>
      </w:pPr>
      <w:r>
        <w:rPr>
          <w:color w:val="000000"/>
        </w:rPr>
        <w:t> </w:t>
      </w:r>
    </w:p>
    <w:p>
      <w:pPr>
        <w:pStyle w:val="Normal"/>
        <w:rPr>
          <w:color w:val="000000"/>
        </w:rPr>
      </w:pPr>
      <w:r>
        <w:rPr>
          <w:color w:val="000000"/>
        </w:rPr>
        <w:t>Stanford, Inc.</w:t>
      </w:r>
    </w:p>
    <w:p>
      <w:pPr>
        <w:pStyle w:val="Normal"/>
        <w:rPr>
          <w:color w:val="000000"/>
        </w:rPr>
      </w:pPr>
      <w:r>
        <w:rPr>
          <w:color w:val="000000"/>
        </w:rPr>
        <w:t> </w:t>
      </w:r>
    </w:p>
    <w:p>
      <w:pPr>
        <w:pStyle w:val="Normal"/>
        <w:rPr>
          <w:color w:val="000000"/>
        </w:rPr>
      </w:pPr>
      <w:r>
        <w:rPr>
          <w:color w:val="000000"/>
        </w:rPr>
        <w:t> </w:t>
      </w:r>
    </w:p>
    <w:p>
      <w:pPr>
        <w:pStyle w:val="Normal"/>
        <w:rPr>
          <w:color w:val="000000"/>
        </w:rPr>
      </w:pPr>
      <w:r>
        <w:rPr>
          <w:color w:val="000000"/>
        </w:rPr>
        <w:t> </w:t>
      </w:r>
    </w:p>
    <w:p>
      <w:pPr>
        <w:pStyle w:val="Normal"/>
        <w:rPr>
          <w:color w:val="000000"/>
        </w:rPr>
      </w:pPr>
      <w:r>
        <w:rPr>
          <w:color w:val="000000"/>
        </w:rPr>
        <w:t>By:</w:t>
      </w:r>
      <w:r>
        <w:rPr>
          <w:color w:val="000000"/>
          <w:u w:val="single"/>
        </w:rPr>
        <w:tab/>
        <w:tab/>
        <w:tab/>
        <w:tab/>
        <w:tab/>
        <w:tab/>
      </w:r>
    </w:p>
    <w:p>
      <w:pPr>
        <w:pStyle w:val="Normal"/>
        <w:rPr>
          <w:color w:val="000000"/>
        </w:rPr>
      </w:pPr>
      <w:r>
        <w:rPr>
          <w:color w:val="000000"/>
        </w:rPr>
        <w:t>Name:</w:t>
      </w:r>
      <w:r>
        <w:rPr>
          <w:color w:val="000000"/>
          <w:u w:val="single"/>
        </w:rPr>
        <w:tab/>
        <w:tab/>
        <w:tab/>
        <w:tab/>
        <w:tab/>
        <w:tab/>
      </w:r>
    </w:p>
    <w:p>
      <w:pPr>
        <w:pStyle w:val="Normal"/>
        <w:rPr>
          <w:color w:val="000000"/>
        </w:rPr>
      </w:pPr>
      <w:r>
        <w:rPr>
          <w:color w:val="000000"/>
        </w:rPr>
        <w:t>Title:</w:t>
      </w:r>
      <w:r>
        <w:rPr>
          <w:color w:val="000000"/>
          <w:u w:val="single"/>
        </w:rPr>
        <w:tab/>
        <w:tab/>
        <w:tab/>
        <w:tab/>
        <w:tab/>
        <w:tab/>
      </w:r>
    </w:p>
    <w:p>
      <w:pPr>
        <w:pStyle w:val="Normal"/>
        <w:rPr>
          <w:color w:val="000000"/>
        </w:rPr>
      </w:pPr>
      <w:r>
        <w:rPr>
          <w:color w:val="000000"/>
        </w:rPr>
        <w:t> </w:t>
      </w:r>
    </w:p>
    <w:p>
      <w:pPr>
        <w:pStyle w:val="Normal"/>
        <w:rPr>
          <w:color w:val="000000"/>
        </w:rPr>
      </w:pPr>
      <w:r>
        <w:rPr>
          <w:color w:val="000000"/>
        </w:rPr>
        <w:t>Sorin, Inc.</w:t>
      </w:r>
    </w:p>
    <w:p>
      <w:pPr>
        <w:pStyle w:val="Normal"/>
        <w:rPr>
          <w:color w:val="000000"/>
        </w:rPr>
      </w:pPr>
      <w:r>
        <w:rPr>
          <w:color w:val="000000"/>
        </w:rPr>
        <w:t> </w:t>
      </w:r>
    </w:p>
    <w:p>
      <w:pPr>
        <w:pStyle w:val="Normal"/>
        <w:rPr>
          <w:color w:val="000000"/>
        </w:rPr>
      </w:pPr>
      <w:r>
        <w:rPr>
          <w:color w:val="000000"/>
        </w:rPr>
        <w:t> </w:t>
      </w:r>
    </w:p>
    <w:p>
      <w:pPr>
        <w:pStyle w:val="Normal"/>
        <w:rPr>
          <w:color w:val="000000"/>
        </w:rPr>
      </w:pPr>
      <w:r>
        <w:rPr>
          <w:color w:val="000000"/>
        </w:rPr>
        <w:t> </w:t>
      </w:r>
    </w:p>
    <w:p>
      <w:pPr>
        <w:pStyle w:val="Normal"/>
        <w:rPr>
          <w:color w:val="000000"/>
        </w:rPr>
      </w:pPr>
      <w:r>
        <w:rPr>
          <w:color w:val="000000"/>
        </w:rPr>
        <w:t>By:</w:t>
      </w:r>
      <w:r>
        <w:rPr>
          <w:color w:val="000000"/>
          <w:u w:val="single"/>
        </w:rPr>
        <w:tab/>
        <w:tab/>
        <w:tab/>
        <w:tab/>
        <w:tab/>
        <w:tab/>
      </w:r>
    </w:p>
    <w:p>
      <w:pPr>
        <w:pStyle w:val="Normal"/>
        <w:rPr>
          <w:color w:val="000000"/>
        </w:rPr>
      </w:pPr>
      <w:r>
        <w:rPr>
          <w:color w:val="000000"/>
        </w:rPr>
        <w:t>Name:</w:t>
      </w:r>
      <w:r>
        <w:rPr>
          <w:color w:val="000000"/>
          <w:u w:val="single"/>
        </w:rPr>
        <w:tab/>
        <w:tab/>
        <w:tab/>
        <w:tab/>
        <w:tab/>
        <w:tab/>
      </w:r>
    </w:p>
    <w:p>
      <w:pPr>
        <w:pStyle w:val="Normal"/>
        <w:rPr>
          <w:color w:val="000000"/>
        </w:rPr>
      </w:pPr>
      <w:r>
        <w:rPr>
          <w:color w:val="000000"/>
        </w:rPr>
        <w:t>Title:</w:t>
      </w:r>
      <w:r>
        <w:rPr>
          <w:color w:val="000000"/>
          <w:u w:val="single"/>
        </w:rPr>
        <w:tab/>
        <w:tab/>
        <w:tab/>
        <w:tab/>
        <w:tab/>
        <w:tab/>
      </w:r>
    </w:p>
    <w:p>
      <w:pPr>
        <w:pStyle w:val="Normal"/>
        <w:rPr>
          <w:color w:val="000000"/>
        </w:rPr>
      </w:pPr>
      <w:r>
        <w:rPr>
          <w:color w:val="000000"/>
        </w:rPr>
        <w:t> </w:t>
      </w:r>
    </w:p>
    <w:p>
      <w:pPr>
        <w:pStyle w:val="Normal"/>
        <w:rPr>
          <w:color w:val="000000"/>
        </w:rPr>
      </w:pPr>
      <w:r>
        <w:rPr>
          <w:color w:val="000000"/>
        </w:rPr>
        <w:t>Badin, Inc.</w:t>
      </w:r>
    </w:p>
    <w:p>
      <w:pPr>
        <w:pStyle w:val="Normal"/>
        <w:rPr>
          <w:color w:val="000000"/>
        </w:rPr>
      </w:pPr>
      <w:r>
        <w:rPr>
          <w:color w:val="000000"/>
        </w:rPr>
        <w:t> </w:t>
      </w:r>
    </w:p>
    <w:p>
      <w:pPr>
        <w:pStyle w:val="Normal"/>
        <w:rPr>
          <w:color w:val="000000"/>
        </w:rPr>
      </w:pPr>
      <w:r>
        <w:rPr>
          <w:color w:val="000000"/>
        </w:rPr>
        <w:t> </w:t>
      </w:r>
    </w:p>
    <w:p>
      <w:pPr>
        <w:pStyle w:val="Normal"/>
        <w:rPr>
          <w:color w:val="000000"/>
        </w:rPr>
      </w:pPr>
      <w:r>
        <w:rPr>
          <w:color w:val="000000"/>
        </w:rPr>
        <w:t> </w:t>
      </w:r>
    </w:p>
    <w:p>
      <w:pPr>
        <w:pStyle w:val="Normal"/>
        <w:rPr>
          <w:color w:val="000000"/>
        </w:rPr>
      </w:pPr>
      <w:r>
        <w:rPr>
          <w:color w:val="000000"/>
        </w:rPr>
        <w:t>By:</w:t>
      </w:r>
      <w:r>
        <w:rPr>
          <w:color w:val="000000"/>
          <w:u w:val="single"/>
        </w:rPr>
        <w:tab/>
        <w:tab/>
        <w:tab/>
        <w:tab/>
        <w:tab/>
        <w:tab/>
      </w:r>
    </w:p>
    <w:p>
      <w:pPr>
        <w:pStyle w:val="Normal"/>
        <w:rPr>
          <w:color w:val="000000"/>
        </w:rPr>
      </w:pPr>
      <w:r>
        <w:rPr>
          <w:color w:val="000000"/>
        </w:rPr>
        <w:t>Name:</w:t>
      </w:r>
      <w:r>
        <w:rPr>
          <w:color w:val="000000"/>
          <w:u w:val="single"/>
        </w:rPr>
        <w:tab/>
        <w:tab/>
        <w:tab/>
        <w:tab/>
        <w:tab/>
        <w:tab/>
      </w:r>
    </w:p>
    <w:p>
      <w:pPr>
        <w:pStyle w:val="Normal"/>
        <w:rPr>
          <w:color w:val="000000"/>
        </w:rPr>
      </w:pPr>
      <w:r>
        <w:rPr>
          <w:color w:val="000000"/>
        </w:rPr>
        <w:t>Title:</w:t>
      </w:r>
      <w:r>
        <w:rPr>
          <w:color w:val="000000"/>
          <w:u w:val="single"/>
        </w:rPr>
        <w:tab/>
        <w:tab/>
        <w:tab/>
        <w:tab/>
        <w:tab/>
        <w:tab/>
      </w:r>
    </w:p>
    <w:p>
      <w:pPr>
        <w:pStyle w:val="Normal"/>
        <w:rPr>
          <w:color w:val="000000"/>
        </w:rPr>
      </w:pPr>
      <w:r>
        <w:rPr>
          <w:color w:val="00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FF0000"/>
      <w:sz w:val="24"/>
      <w:szCs w:val="24"/>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2001-11-15T21:53:00Z</dcterms:created>
  <dc:creator>pdelvec</dc:creator>
  <dc:description/>
  <dc:language>en-CA</dc:language>
  <cp:lastModifiedBy>Joe Henry</cp:lastModifiedBy>
  <cp:lastPrinted>2001-11-15T18:22:00Z</cp:lastPrinted>
  <dcterms:modified xsi:type="dcterms:W3CDTF">2001-11-15T21:53:00Z</dcterms:modified>
  <cp:revision>2</cp:revision>
  <dc:subject/>
  <dc:title>November ___, 2001</dc:title>
</cp:coreProperties>
</file>