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As you know, yesterday the State of California was essentially on the verge of martial law.  Obviously, there is a serious crisis in the Western United States’ energy markets.  In this letter Enron Wholesale Services (Enron) explains the problems with the current regulatory framework details productive solutions to this problem.  Enron stands ready to work with you, the FERC Staff and appropriate state officials to identify and implement steps that Enron and the electricity industry can take to improve the operations of the marketplace and address the burden facing consumers throughout the Western United States.</w:t>
      </w:r>
    </w:p>
    <w:p>
      <w:pPr>
        <w:pStyle w:val="BodyText"/>
        <w:rPr/>
      </w:pPr>
      <w:r>
        <w:rPr/>
      </w:r>
    </w:p>
    <w:p>
      <w:pPr>
        <w:pStyle w:val="BodyText"/>
        <w:rPr/>
      </w:pPr>
      <w:r>
        <w:rPr/>
        <w:t xml:space="preserve">The current regulatory framework in California (of price caps, refund risk, frozen retail rates, and utility inability to flow through costs to retail customers) is frought with economic anomolies and unintended consequences.  This framework further inhibits the market by slowing the interconnection process for new generators, withholding equal access to and information about the transmission system, ……..  and exercising control over supposedly “independent” system operators and reliability organizations.  While some of the Federal Energy Regulatory Commission’s (FERC) recent policy reactions to this crisis have been helpful many have been harmful.  To deal with these problems, you need to take advantage of your leadership role in crafting strong, decisive action to craft  . . . </w:t>
      </w:r>
    </w:p>
    <w:p>
      <w:pPr>
        <w:pStyle w:val="BodyText"/>
        <w:rPr/>
      </w:pPr>
      <w:r>
        <w:rPr/>
      </w:r>
    </w:p>
    <w:p>
      <w:pPr>
        <w:pStyle w:val="BodyText"/>
        <w:rPr/>
      </w:pPr>
      <w:r>
        <w:rPr/>
        <w:t xml:space="preserve">Price Caps are a “blunt instrument” that have cause problems not only in California but in the entire West.  For example, price caps have caused badly needed peaking generators to be cancelled in California [and elsewhere in the West – is this right?].  The market for these units is not merely national, it is international market. So developers are logically following price signals and deciding to locate units in other parts of the country or the world rather than in the price cap environment of California and the more general Western market.  </w:t>
      </w:r>
    </w:p>
    <w:p>
      <w:pPr>
        <w:pStyle w:val="BodyText"/>
        <w:rPr/>
      </w:pPr>
      <w:r>
        <w:rPr/>
      </w:r>
    </w:p>
    <w:p>
      <w:pPr>
        <w:pStyle w:val="BodyText"/>
        <w:rPr/>
      </w:pPr>
      <w:r>
        <w:rPr/>
        <w:t xml:space="preserve">Price caps also increase exports and encourage California utilities to continue buying from the ISO instead of properly hedging their risk by buying in the forward markets as the Federal Energy Regulatory Commission (FERC) has recommended.  Accordingly, and in spite of FERC’s well intended November 1 order, the California ISO market is 20 to 30 percent of the market in California and is buying power “out-of-market” at far in excess of price caps. </w:t>
      </w:r>
    </w:p>
    <w:p>
      <w:pPr>
        <w:pStyle w:val="BodyText"/>
        <w:rPr/>
      </w:pPr>
      <w:r>
        <w:rPr/>
      </w:r>
    </w:p>
    <w:p>
      <w:pPr>
        <w:pStyle w:val="BodyText"/>
        <w:rPr/>
      </w:pPr>
      <w:r>
        <w:rPr/>
        <w:t>At times when regulatory entities should be incenting generation and sales, the FERC’s November 1 order inhibited sales into that market by imposing refund risk on generators and marketers selling into the California.  The State of California’s unwillingness to allow California utilities to send retail customers price signals has furthered this problem, culminating in credit problems for the utilities and, yesterday, Section 202(c) decision by the Secretary of Energy.   Specifically, major sellers into the ISO are reasonably concerned that they will not be paid for their power sales to the ISO if the California utilities default.  As of yesterday, the California utilities had failed to post a letter of credit or other appropriate mechains as required by the ISO tariff.</w:t>
      </w:r>
      <w:r>
        <w:rPr>
          <w:rStyle w:val="FootnoteCharacters"/>
          <w:rStyle w:val="FootnoteReference"/>
        </w:rPr>
        <w:footnoteReference w:id="2"/>
      </w:r>
      <w:r>
        <w:rPr/>
        <w:t xml:space="preserve"> </w:t>
      </w:r>
    </w:p>
    <w:p>
      <w:pPr>
        <w:pStyle w:val="BodyText"/>
        <w:rPr/>
      </w:pPr>
      <w:r>
        <w:rPr/>
      </w:r>
    </w:p>
    <w:p>
      <w:pPr>
        <w:pStyle w:val="BodyText"/>
        <w:rPr/>
      </w:pPr>
      <w:r>
        <w:rPr/>
        <w:t xml:space="preserve">Since retail customers in California have not been getting price signals from the market, anomolies exist where, in response to high prices, Kaiser Aluminum in the Northwest is cutting its load and reselling its power to the market while manufacturers in California (where the power is needed the most) have not responded to this crisis because there is no incentive to do so. </w:t>
      </w:r>
    </w:p>
    <w:p>
      <w:pPr>
        <w:pStyle w:val="BodyText"/>
        <w:rPr/>
      </w:pPr>
      <w:r>
        <w:rPr/>
      </w:r>
    </w:p>
    <w:p>
      <w:pPr>
        <w:pStyle w:val="BodyText"/>
        <w:rPr/>
      </w:pPr>
      <w:r>
        <w:rPr/>
        <w:t xml:space="preserve">This public policy crisis presents on opportunity for the Secretary of Energy to demonstrate the leadership and bring to bear the expertise of the Department of Energy. Every action the government takes in this situation should be: (1) informed by discussions with market participants (and no longer simply taken on faith from the utilities or the CAL ISO), and (2) should be measured against this simple standard: does the action actually increase supply or actually decrease demand; if not, then it’s not helping.  </w:t>
      </w:r>
    </w:p>
    <w:p>
      <w:pPr>
        <w:pStyle w:val="BodyText"/>
        <w:rPr/>
      </w:pPr>
      <w:r>
        <w:rPr/>
      </w:r>
    </w:p>
    <w:p>
      <w:pPr>
        <w:pStyle w:val="BodyText"/>
        <w:rPr/>
      </w:pPr>
      <w:r>
        <w:rPr/>
        <w:t>The following are the actions that we have taken to increase supply or reduce demand.  Enron has little actual generation that it can turn on to relieve .  offered to the ISO today because of the emergency, but the ISO declined to purchase that power   That small generating unit is located in the southern California, while the ISO's supply problems were most acute in northern California. We aren't selling any other power to them right now. Everything else that we bought we've sold to other          buyers, who added that Enron had sold to the ISO as recently as Tuesday</w:t>
      </w:r>
    </w:p>
    <w:p>
      <w:pPr>
        <w:pStyle w:val="BodyText"/>
        <w:rPr/>
      </w:pPr>
      <w:r>
        <w:rPr/>
      </w:r>
    </w:p>
    <w:p>
      <w:pPr>
        <w:pStyle w:val="BodyText"/>
        <w:rPr/>
      </w:pPr>
      <w:r>
        <w:rPr/>
        <w:t>Following recommendations, FERC must preempt the state of California and allow the Utilities in California to flow through to retail customers the costs of power in the wholesale market.  This will completely resolve the current credit</w:t>
      </w:r>
    </w:p>
    <w:p>
      <w:pPr>
        <w:pStyle w:val="BodyText"/>
        <w:rPr/>
      </w:pPr>
      <w:r>
        <w:rPr/>
      </w:r>
    </w:p>
    <w:p>
      <w:pPr>
        <w:pStyle w:val="Normal"/>
        <w:spacing w:lineRule="atLeast" w:line="240"/>
        <w:ind w:start="360" w:end="0"/>
        <w:rPr/>
      </w:pPr>
      <w:r>
        <w:rPr>
          <w:rFonts w:cs="Symbol" w:ascii="Symbol" w:hAnsi="Symbol"/>
          <w:color w:val="000000"/>
          <w:sz w:val="24"/>
          <w:lang w:eastAsia="en-US"/>
        </w:rPr>
        <w:tab/>
      </w:r>
      <w:r>
        <w:rPr>
          <w:color w:val="000000"/>
          <w:sz w:val="24"/>
          <w:lang w:eastAsia="en-US"/>
        </w:rPr>
        <w:t>we should list examples of both the short term and long term remedies that we believe satisfy this standard (e.g. in the short term things like having the ISO buy demand reductions, providing government guarantees for ISO purchases or having California lift emissions limits) and listing actions that do not meet this standard (e.g. price caps orders to sell power to the CAL ISO).</w:t>
      </w:r>
    </w:p>
    <w:p>
      <w:pPr>
        <w:pStyle w:val="BodyText"/>
        <w:rPr>
          <w:color w:val="000000"/>
          <w:sz w:val="24"/>
          <w:lang w:eastAsia="en-US"/>
        </w:rPr>
      </w:pPr>
      <w:r>
        <w:rPr>
          <w:color w:val="000000"/>
          <w:sz w:val="24"/>
          <w:lang w:eastAsia="en-US"/>
        </w:rPr>
      </w:r>
    </w:p>
    <w:p>
      <w:pPr>
        <w:pStyle w:val="BodyText"/>
        <w:rPr/>
      </w:pPr>
      <w:r>
        <w:rPr/>
      </w:r>
    </w:p>
    <w:p>
      <w:pPr>
        <w:pStyle w:val="BodyText"/>
        <w:rPr/>
      </w:pPr>
      <w:r>
        <w:rPr/>
        <w:t>Accordingly, the regulatory structure discussed above threatens the very economy of the West.  It has caused the Secretary of Energy to need to become involved to manage the electricity system of California simply to keep the lights on.  Finally, it has created regulatory exigencies that now threaten utilities in the Northwest who (unlike the California utilities) have carefully managed handled their risk by prudently allocating their portfolio through forward contracting and other risk management techniques.  The current reactionary mode of price caps and other draconian regulatory measures have been shown to have failed.  Accordingly, the Secretary should adopt the recommendations set forth above.  I am available to discuss any of these matters further.</w:t>
      </w:r>
    </w:p>
    <w:p>
      <w:pPr>
        <w:pStyle w:val="BodyText"/>
        <w:rPr/>
      </w:pPr>
      <w:r>
        <w:rPr/>
      </w:r>
    </w:p>
    <w:p>
      <w:pPr>
        <w:pStyle w:val="BodyText"/>
        <w:rPr/>
      </w:pPr>
      <w:r>
        <w:rPr/>
        <w:t xml:space="preserve">Sincerely, </w:t>
      </w:r>
    </w:p>
    <w:p>
      <w:pPr>
        <w:pStyle w:val="BodyText"/>
        <w:rPr/>
      </w:pPr>
      <w:r>
        <w:rPr/>
      </w:r>
    </w:p>
    <w:p>
      <w:pPr>
        <w:pStyle w:val="BodyText"/>
        <w:rPr/>
      </w:pPr>
      <w:r>
        <w:rPr/>
      </w:r>
    </w:p>
    <w:p>
      <w:pPr>
        <w:pStyle w:val="BodyText"/>
        <w:rPr/>
      </w:pPr>
      <w:r>
        <w:rPr/>
        <w:t>Jeff Skilling</w:t>
      </w:r>
    </w:p>
    <w:p>
      <w:pPr>
        <w:pStyle w:val="BodyText"/>
        <w:rPr/>
      </w:pPr>
      <w:r>
        <w:rPr/>
      </w:r>
    </w:p>
    <w:p>
      <w:pPr>
        <w:pStyle w:val="BodyText"/>
        <w:rPr/>
      </w:pPr>
      <w:r>
        <w:rPr/>
      </w:r>
    </w:p>
    <w:p>
      <w:pPr>
        <w:pStyle w:val="Normal"/>
        <w:spacing w:lineRule="atLeast" w:line="240"/>
        <w:ind w:start="360" w:end="0"/>
        <w:rPr>
          <w:color w:val="000000"/>
          <w:sz w:val="24"/>
          <w:lang w:eastAsia="en-US"/>
        </w:rPr>
      </w:pPr>
      <w:r>
        <w:rPr>
          <w:color w:val="000000"/>
          <w:sz w:val="24"/>
          <w:lang w:eastAsia="en-US"/>
        </w:rPr>
      </w:r>
    </w:p>
    <w:p>
      <w:pPr>
        <w:pStyle w:val="Normal"/>
        <w:spacing w:lineRule="atLeast" w:line="240"/>
        <w:ind w:start="360" w:end="0"/>
        <w:rPr>
          <w:color w:val="000000"/>
          <w:sz w:val="24"/>
          <w:lang w:eastAsia="en-US"/>
        </w:rPr>
      </w:pPr>
      <w:r>
        <w:rPr>
          <w:rFonts w:cs="Symbol" w:ascii="Symbol" w:hAnsi="Symbol"/>
          <w:color w:val="000000"/>
          <w:sz w:val="24"/>
          <w:lang w:eastAsia="en-US"/>
        </w:rPr>
        <w:sym w:font="Symbol" w:char="f0b7"/>
      </w:r>
      <w:r>
        <w:rPr>
          <w:rFonts w:cs="Symbol" w:ascii="Symbol" w:hAnsi="Symbol"/>
          <w:color w:val="000000"/>
          <w:sz w:val="24"/>
          <w:lang w:eastAsia="en-US"/>
        </w:rPr>
        <w:tab/>
      </w:r>
    </w:p>
    <w:p>
      <w:pPr>
        <w:pStyle w:val="BodyText"/>
        <w:rPr>
          <w:color w:val="000000"/>
          <w:sz w:val="24"/>
          <w:lang w:eastAsia="en-US"/>
        </w:rPr>
      </w:pPr>
      <w:r>
        <w:rPr>
          <w:color w:val="000000"/>
          <w:sz w:val="24"/>
          <w:lang w:eastAsia="en-US"/>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
        <w:rPr/>
      </w:pPr>
      <w:r>
        <w:rPr>
          <w:rStyle w:val="FootnoteCharacters"/>
        </w:rPr>
        <w:footnoteRef/>
      </w:r>
      <w:r>
        <w:rPr/>
        <w:t xml:space="preserve"> </w:t>
      </w:r>
      <w:r>
        <w:rPr/>
        <w:t>The ISO is a non-profit entity that, in its real time market, merely flows through power to buyers in return for payments by buyers</w:t>
      </w:r>
    </w:p>
    <w:p>
      <w:pPr>
        <w:pStyle w:val="FootnoteText"/>
        <w:rPr/>
      </w:pPr>
      <w:r>
        <w:rPr/>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2000-12-14T14:25:00Z</dcterms:created>
  <dc:creator>mhain</dc:creator>
  <dc:description/>
  <dc:language>en-CA</dc:language>
  <cp:lastModifiedBy>mhain</cp:lastModifiedBy>
  <dcterms:modified xsi:type="dcterms:W3CDTF">2000-12-14T17:16:00Z</dcterms:modified>
  <cp:revision>2</cp:revision>
  <dc:subject/>
  <dc:title>As you know, yesterday the State of California was essentially on the verge of martial law</dc:title>
</cp:coreProperties>
</file>