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ab/>
        <w:tab/>
        <w:tab/>
        <w:tab/>
        <w:tab/>
        <w:tab/>
        <w:tab/>
        <w:t>April 4, 2001</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Clifton Karnei</w:t>
      </w:r>
    </w:p>
    <w:p>
      <w:pPr>
        <w:pStyle w:val="Normal"/>
        <w:rPr>
          <w:rFonts w:ascii="Arial" w:hAnsi="Arial" w:cs="Arial"/>
          <w:color w:val="000000"/>
          <w:sz w:val="24"/>
        </w:rPr>
      </w:pPr>
      <w:r>
        <w:rPr>
          <w:rFonts w:cs="Arial" w:ascii="Arial" w:hAnsi="Arial"/>
          <w:color w:val="000000"/>
          <w:sz w:val="24"/>
        </w:rPr>
        <w:t>Executive Vice President and General Manager</w:t>
      </w:r>
    </w:p>
    <w:p>
      <w:pPr>
        <w:pStyle w:val="Normal"/>
        <w:rPr>
          <w:rFonts w:ascii="Arial" w:hAnsi="Arial" w:cs="Arial"/>
          <w:color w:val="000000"/>
          <w:sz w:val="24"/>
        </w:rPr>
      </w:pPr>
      <w:r>
        <w:rPr>
          <w:rFonts w:cs="Arial" w:ascii="Arial" w:hAnsi="Arial"/>
          <w:color w:val="000000"/>
          <w:sz w:val="24"/>
        </w:rPr>
        <w:t>Brazos Electric Power Cooperative, Inc.</w:t>
      </w:r>
    </w:p>
    <w:p>
      <w:pPr>
        <w:pStyle w:val="Normal"/>
        <w:rPr>
          <w:rFonts w:ascii="Arial" w:hAnsi="Arial" w:cs="Arial"/>
          <w:color w:val="000000"/>
          <w:sz w:val="24"/>
        </w:rPr>
      </w:pPr>
      <w:r>
        <w:rPr>
          <w:rFonts w:cs="Arial" w:ascii="Arial" w:hAnsi="Arial"/>
          <w:color w:val="000000"/>
          <w:sz w:val="24"/>
        </w:rPr>
        <w:t>2404 LaSalle Avenue</w:t>
      </w:r>
    </w:p>
    <w:p>
      <w:pPr>
        <w:pStyle w:val="Normal"/>
        <w:rPr>
          <w:rFonts w:ascii="Arial" w:hAnsi="Arial" w:cs="Arial"/>
          <w:color w:val="000000"/>
          <w:sz w:val="24"/>
        </w:rPr>
      </w:pPr>
      <w:r>
        <w:rPr>
          <w:rFonts w:cs="Arial" w:ascii="Arial" w:hAnsi="Arial"/>
          <w:color w:val="000000"/>
          <w:sz w:val="24"/>
        </w:rPr>
        <w:t>P.O. Box 2585</w:t>
      </w:r>
    </w:p>
    <w:p>
      <w:pPr>
        <w:pStyle w:val="Normal"/>
        <w:rPr>
          <w:rFonts w:ascii="Arial" w:hAnsi="Arial" w:cs="Arial"/>
          <w:color w:val="000000"/>
          <w:sz w:val="24"/>
        </w:rPr>
      </w:pPr>
      <w:r>
        <w:rPr>
          <w:rFonts w:cs="Arial" w:ascii="Arial" w:hAnsi="Arial"/>
          <w:color w:val="000000"/>
          <w:sz w:val="24"/>
        </w:rPr>
        <w:t>Waco, TX  76702-2585</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Dear Clifton:</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This letter responds to your March 29, 2001 request for a “best and final offer” for Brazos Electric Power Cooperative Inc. (Brazos) to purchase the Cleburne Plant presently owned by Tenaska IV Texas Partners, Ltd. (Tenaska IV).</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In your letter, you reference the fact that Brazos, on December 21, 2001 bid $189.0 million (MM) plus the assumption of project-level debt for the Cleburne Plant in a transaction that closes on June 30, 2001.   The balance of project-level debt outstanding at June 30, 2001 is approximately $144.4 MM, which infers that Brazos’ assigns an enterprise value of $333.4 MM to the Cleburne Plant on that date.  As outlined in the material that you provided to representatives of Ponderosa Pine Energy, LLC (PPE) and Enron North America Corp. (ENA), Brazos’ bid covers all assets relating to the plant, including development assets and cash equivalents (valued by Tenaska IV at approximately $25.0 MM in total).</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Based on recent discussions with you and your staff since Brazos’ bid was first presented, it appears that the bid was derived by considering a number of factors, including:  (1) a view of Brazos’ “stranded investment” under its Power Purchase Agreement (PPA) with Tenaska IV, and (2) value associated with the probability of successful litigation on certain issues relating to the implementation and interpretation of the PPA.</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As you know, the PPE/ENA litigation team has also given significant consideration to the probability of successful litigation by Brazos as well as remedies available to Tenaska IV upon an event of default under the PPA.  After thorough review of all pertinent issues relating to claims that might be brought against the partnership, PPE/ENA is not compelled to discount its equity offer price for the sale of Tenaska IV assets.  Accordingly, PPE/ENA has and will continue to price its equity offer based on expected future cash flow that will be generated under the current PPA.</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While PPE/ENA can rationalize a value well in excess of the equity offer made to Brazos on August 25, 2000 based on current gas market conditions and the dispatch profile of the Cleburne Plant, the partnership is willing to extend its $259.6 MM equity offer to Brazos until June 30, 2001.  Due to the amortization of project-level debt since the August 21, 2000 offer was made, the implied enterprise value at June 30, 2001 for a 100% interest in Tenaska IV is $404.0 MM.  The PPE/ENA offer price includes an assignment of all development assets and cash equivalents.</w:t>
      </w:r>
    </w:p>
    <w:p>
      <w:pPr>
        <w:pStyle w:val="Normal"/>
        <w:rPr>
          <w:rFonts w:ascii="Arial" w:hAnsi="Arial" w:cs="Arial"/>
          <w:color w:val="000000"/>
          <w:sz w:val="24"/>
        </w:rPr>
      </w:pPr>
      <w:r>
        <w:rPr>
          <w:rFonts w:cs="Arial" w:ascii="Arial" w:hAnsi="Arial"/>
          <w:color w:val="000000"/>
          <w:sz w:val="24"/>
        </w:rPr>
      </w:r>
    </w:p>
    <w:p>
      <w:pPr>
        <w:pStyle w:val="BodyText"/>
        <w:rPr/>
      </w:pPr>
      <w:r>
        <w:rPr/>
        <w:t>PPE/ENA recognizes that Brazos may, as a result of competing capital projects, face certain constraints with respect to its ability to fund and finance an acquisition of the Cleburne Plant at the price offered.  Accordingly, ENA offers, in conjunction with the sale of upstream equity interests in the Cleburne Plant, to finance $70.6 MM (i.e., $259.6 MM less the $189.0 MM bid by Brazos) of the acquisition price.  Ultimately, this “seller financing” can be structured in a variety of ways in order to meet Brazos’ needs with respect to cash funding and accounting recognition (i.e., on- vs. off-balance sheet).  It is ENA’s preference to create one or more “contracts for differences” that are secured by a subordinated interest in the Cleburne Plant to facilitate seller financing.  The annual percentage rate (APR) for seller financing commitments undertaken by ENA is 10.000%.</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To the extent Brazos would find it difficult to finance an acquisition of the Cleburne Plant at any price (again due to capital constraints associated with other projects that might generate higher rates of return to Brazos), PPE/ENA would be willing to restructure the PPA in a manner that makes the Tenaska IV partnership indifferent with respect to its return of and on capital employed in the project.  An overview of how such a restructuring might be priced is provided in the attached proposal, which presents just two of a seemingly endless array of alternatives.</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I hope this letter adequately addresses your most recent inquiry.  PPE/ENA looks forward to working with you to find a commercial solution to any disputes that might still remain with respect to the Cleburne Plant.</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ab/>
        <w:tab/>
        <w:tab/>
        <w:tab/>
        <w:tab/>
        <w:tab/>
        <w:tab/>
        <w:t>Sincerely,</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ab/>
        <w:tab/>
        <w:tab/>
        <w:tab/>
        <w:tab/>
        <w:tab/>
        <w:tab/>
        <w:t>Charles Ward</w:t>
      </w:r>
    </w:p>
    <w:p>
      <w:pPr>
        <w:pStyle w:val="Normal"/>
        <w:rPr>
          <w:rFonts w:ascii="Arial" w:hAnsi="Arial" w:cs="Arial"/>
          <w:color w:val="000000"/>
          <w:sz w:val="24"/>
        </w:rPr>
      </w:pPr>
      <w:r>
        <w:rPr>
          <w:rFonts w:cs="Arial" w:ascii="Arial" w:hAnsi="Arial"/>
          <w:color w:val="000000"/>
          <w:sz w:val="24"/>
        </w:rPr>
        <w:tab/>
        <w:tab/>
        <w:tab/>
        <w:tab/>
        <w:tab/>
        <w:tab/>
        <w:tab/>
        <w:t>Director</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2001-04-04T12:38:00Z</dcterms:created>
  <dc:creator>Rick Hill</dc:creator>
  <dc:description/>
  <dc:language>en-CA</dc:language>
  <cp:lastModifiedBy>Rick Hill</cp:lastModifiedBy>
  <cp:lastPrinted>2001-04-04T16:45:00Z</cp:lastPrinted>
  <dcterms:modified xsi:type="dcterms:W3CDTF">2001-04-04T20:28:00Z</dcterms:modified>
  <cp:revision>3</cp:revision>
  <dc:subject/>
  <dc:title/>
</cp:coreProperties>
</file>