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 w:val="right" w:pos="9360" w:leader="none"/>
        </w:tabs>
        <w:spacing w:before="1584" w:after="0"/>
        <w:rPr/>
      </w:pPr>
      <w:bookmarkStart w:id="0" w:name="Top"/>
      <w:bookmarkEnd w:id="0"/>
      <w:r>
        <w:rPr/>
        <w:tab/>
        <w:t>March 6, 2001</w:t>
      </w:r>
    </w:p>
    <w:p>
      <w:pPr>
        <w:pStyle w:val="Normal"/>
        <w:tabs>
          <w:tab w:val="clear" w:pos="720"/>
          <w:tab w:val="center" w:pos="4680" w:leader="none"/>
          <w:tab w:val="right" w:pos="9360" w:leader="none"/>
        </w:tabs>
        <w:spacing w:before="0" w:after="240"/>
        <w:rPr/>
      </w:pPr>
      <w:r>
        <w:rPr/>
      </w:r>
    </w:p>
    <w:p>
      <w:pPr>
        <w:pStyle w:val="Normal"/>
        <w:tabs>
          <w:tab w:val="clear" w:pos="720"/>
          <w:tab w:val="center" w:pos="4680" w:leader="none"/>
          <w:tab w:val="right" w:pos="9360" w:leader="none"/>
        </w:tabs>
        <w:rPr/>
      </w:pPr>
      <w:r>
        <w:rPr/>
      </w:r>
    </w:p>
    <w:p>
      <w:pPr>
        <w:pStyle w:val="BodyTextIndent2"/>
        <w:ind w:hanging="1440" w:end="0"/>
        <w:rPr/>
      </w:pPr>
      <w:r>
        <w:rPr/>
        <w:t>Allegheny Energy Supply Company, L.L.C.</w:t>
      </w:r>
    </w:p>
    <w:p>
      <w:pPr>
        <w:pStyle w:val="BodyTextIndent2"/>
        <w:ind w:hanging="1440" w:end="0"/>
        <w:rPr/>
      </w:pPr>
      <w:r>
        <w:rPr/>
        <w:t>800 Cabin Hill Drive</w:t>
      </w:r>
    </w:p>
    <w:p>
      <w:pPr>
        <w:pStyle w:val="BodyTextIndent2"/>
        <w:ind w:hanging="1440" w:end="0"/>
        <w:rPr>
          <w:u w:val="single"/>
        </w:rPr>
      </w:pPr>
      <w:r>
        <w:rPr/>
        <w:t>Greensburg, PA  15601</w:t>
      </w:r>
    </w:p>
    <w:p>
      <w:pPr>
        <w:pStyle w:val="BodyTextIndent2"/>
        <w:ind w:hanging="1440" w:end="0"/>
        <w:rPr/>
      </w:pPr>
      <w:r>
        <w:rPr/>
        <w:t>Attention:  Mr. Peter J. Skrgic, President</w:t>
      </w:r>
    </w:p>
    <w:p>
      <w:pPr>
        <w:pStyle w:val="Normal"/>
        <w:tabs>
          <w:tab w:val="clear" w:pos="720"/>
          <w:tab w:val="center" w:pos="4680" w:leader="none"/>
          <w:tab w:val="right" w:pos="9360" w:leader="none"/>
        </w:tabs>
        <w:spacing w:before="0" w:after="240"/>
        <w:ind w:hanging="720" w:start="1440" w:end="0"/>
        <w:rPr/>
      </w:pPr>
      <w:r>
        <w:rPr/>
      </w:r>
    </w:p>
    <w:p>
      <w:pPr>
        <w:pStyle w:val="Normal"/>
        <w:tabs>
          <w:tab w:val="clear" w:pos="720"/>
          <w:tab w:val="center" w:pos="4680" w:leader="none"/>
          <w:tab w:val="right" w:pos="9360" w:leader="none"/>
        </w:tabs>
        <w:spacing w:before="0" w:after="240"/>
        <w:ind w:hanging="720" w:start="1440" w:end="0"/>
        <w:rPr/>
      </w:pPr>
      <w:r>
        <w:rPr/>
        <w:t>Re:</w:t>
        <w:tab/>
        <w:t>Purchase and Sale Agreement By and Between Enron North America Corp. (“ENA”) and Allegheny Energy Supply Company, L.L.C. (“Allegheny”) dated November 13, 2000 (the “Agreement”)</w:t>
      </w:r>
    </w:p>
    <w:p>
      <w:pPr>
        <w:pStyle w:val="Normal"/>
        <w:spacing w:before="0" w:after="240"/>
        <w:rPr/>
      </w:pPr>
      <w:bookmarkStart w:id="1" w:name="Salutation"/>
      <w:bookmarkEnd w:id="1"/>
      <w:r>
        <w:rPr/>
        <w:t>Dear Mr. Skrgic,</w:t>
      </w:r>
    </w:p>
    <w:p>
      <w:pPr>
        <w:pStyle w:val="NormalIndent"/>
        <w:jc w:val="start"/>
        <w:rPr/>
      </w:pPr>
      <w:bookmarkStart w:id="2" w:name="Text"/>
      <w:bookmarkEnd w:id="2"/>
      <w:r>
        <w:rPr/>
        <w:t>As you know, Allegheny and ENA entered the Agreement with respect to the sale of certain natural gas fired electric generating facilities (the “LLC Interests”) by ENA to Allegheny (the “Transaction”).  Based on recent conversations with representatives of your company, we are concerned that Allegheny is, or may be, in breach of its obligations under the Agreement.  There are two areas of major concern:</w:t>
      </w:r>
    </w:p>
    <w:p>
      <w:pPr>
        <w:pStyle w:val="NormalIndent"/>
        <w:ind w:hanging="0" w:end="0"/>
        <w:jc w:val="start"/>
        <w:rPr/>
      </w:pPr>
      <w:r>
        <w:rPr/>
        <w:t>1.</w:t>
        <w:tab/>
        <w:tab/>
      </w:r>
      <w:r>
        <w:rPr>
          <w:u w:val="single"/>
        </w:rPr>
        <w:t>Misinterpretation of the Buyer’s Closing Conditions</w:t>
      </w:r>
      <w:r>
        <w:rPr/>
        <w:t xml:space="preserve"> </w:t>
      </w:r>
    </w:p>
    <w:p>
      <w:pPr>
        <w:pStyle w:val="NormalIndent"/>
        <w:jc w:val="start"/>
        <w:rPr/>
      </w:pPr>
      <w:r>
        <w:rPr/>
        <w:t xml:space="preserve">We have learned that certain Allegheny representatives, in conversations with our counsel LeBoeuf, Lamb, Greene and MacRae L.L.P. (“LLGM”), have stated that Allegheny is only obligated to close the Transaction on or before May 30, 2001 (the “Outside Closing Date”) and no sooner, notwithstanding the express language of the Agreement which requires the parties to close their Transaction on the first business day after the conditions precedent to closing contained in Article 8 have been satisfied.  To date, all of Allegheny’s closing conditions have been (or will be) satisfied except for Allegheny’s receipt of the approval of the Securities and Exchange Commission (“SEC”) under the Public Utility Holding Company Act of 1935 (“PUHCA”) needed for Allegheny to finance the purchase of the LLC Interests (the “SEC Approval”).  Of significance is the fact that the definition of SEC Approval under Section 1.1 of the Agreement is limited to approvals under PUHCA and does not include the (i) review of a registration statement under the Securities Act of 1933 or any other non-PUHCA authority or (ii) expiration of any additional periods of time that may be needed to sell common stock.  </w:t>
      </w:r>
    </w:p>
    <w:p>
      <w:pPr>
        <w:pStyle w:val="NormalIndent"/>
        <w:jc w:val="start"/>
        <w:rPr/>
      </w:pPr>
      <w:r>
        <w:rPr/>
        <w:t xml:space="preserve">Nothing in the Agreement calls for any other conditions to be satisfied prior to closing (including the reference in the Agreement to the Outside Closing Date which merely establishes an outside date by which all conditions must be satisfied or waived).  </w:t>
      </w:r>
    </w:p>
    <w:p>
      <w:pPr>
        <w:pStyle w:val="NormalIndent"/>
        <w:jc w:val="start"/>
        <w:rPr/>
      </w:pPr>
      <w:r>
        <w:rPr/>
        <w:t xml:space="preserve">In several phone conversations with various Allegheny representatives, ENA has discovered that Allegheny does not expect to be in a position to close the Transaction on the first business day following receipt of the SEC Approval.  Specifically, Allegheny has indicated that it will need to first (i) seek and obtain an additional approval from the SEC under the Securities Act of 1933 (following submission of a Form S-3 which has yet to be filed), (ii) conduct a “road show” prior to selling equity and (iii) price and sell such equity in the marketplace.  All of this is particularly disconcerting given that it is in direct contravention with our discussions immediately prior to executing the Agreement and the terms and conditions of the Agreement itself.  ENA spent a great deal of time, prior to signing the Agreement, in an effort to understand the regulatory requirements to which Allegheny is subject and was not informed at any point during this process that such additional steps would need to be taken.  Further, ENA was adamant about not having a financing contingency in the Agreement and relied upon Allegheny’s express assurance that the time schedule set forth in the Agreement was feasible. </w:t>
      </w:r>
    </w:p>
    <w:p>
      <w:pPr>
        <w:pStyle w:val="NormalIndent"/>
        <w:ind w:hanging="0" w:end="0"/>
        <w:jc w:val="start"/>
        <w:rPr/>
      </w:pPr>
      <w:r>
        <w:rPr/>
        <w:t>2.</w:t>
        <w:tab/>
        <w:tab/>
      </w:r>
      <w:r>
        <w:rPr>
          <w:u w:val="single"/>
        </w:rPr>
        <w:t>Failure to Comply with the Undertakings in Article 7 of the Agreement.</w:t>
      </w:r>
    </w:p>
    <w:p>
      <w:pPr>
        <w:pStyle w:val="NormalIndent"/>
        <w:ind w:firstLine="720" w:end="0"/>
        <w:jc w:val="start"/>
        <w:rPr/>
      </w:pPr>
      <w:r>
        <w:rPr/>
        <w:t>Article 7 of the Agreement requires each party to use commercially reasonable efforts to obtain all authorizations, consents, orders, and approvals of all governmental authorities needed for the performance of its obligations under the Agreement.  In addition to the general undertaking in Article 7, Allegheny has undertaken (in Section 7.9) that it will, among other things:</w:t>
      </w:r>
    </w:p>
    <w:p>
      <w:pPr>
        <w:pStyle w:val="NormalIndent"/>
        <w:numPr>
          <w:ilvl w:val="0"/>
          <w:numId w:val="1"/>
        </w:numPr>
        <w:tabs>
          <w:tab w:val="clear" w:pos="720"/>
          <w:tab w:val="left" w:pos="1800" w:leader="none"/>
        </w:tabs>
        <w:ind w:hanging="360" w:start="1800" w:end="0"/>
        <w:jc w:val="start"/>
        <w:rPr/>
      </w:pPr>
      <w:r>
        <w:rPr/>
        <w:t>Consult with ENA prior to providing any supplemental information to the SEC and provide prompt written notice to ENA of all discussions and correspondence between Allegheny’s employees and representatives and the SEC that reasonably relate to or bear upon the SEC Filing (Section 7.9(c)(ii)(D)(1)); and</w:t>
      </w:r>
    </w:p>
    <w:p>
      <w:pPr>
        <w:pStyle w:val="NormalIndent"/>
        <w:numPr>
          <w:ilvl w:val="0"/>
          <w:numId w:val="1"/>
        </w:numPr>
        <w:tabs>
          <w:tab w:val="clear" w:pos="720"/>
          <w:tab w:val="left" w:pos="1800" w:leader="none"/>
        </w:tabs>
        <w:ind w:hanging="360" w:start="1800" w:end="0"/>
        <w:jc w:val="start"/>
        <w:rPr/>
      </w:pPr>
      <w:r>
        <w:rPr/>
        <w:t>Avoid taking other actions or making other filings under the jurisdiction of the SEC that could reasonably be expected to have the effect of delaying, conditioning, or reducing the likelihood of receiving the SEC Approval (Section 7.9(c)(ii)(D)(3)).</w:t>
      </w:r>
    </w:p>
    <w:p>
      <w:pPr>
        <w:pStyle w:val="NormalIndent"/>
        <w:ind w:hanging="0" w:end="0"/>
        <w:jc w:val="start"/>
        <w:rPr/>
      </w:pPr>
      <w:r>
        <w:rPr/>
        <w:t>Questions have been raised concerning Allegheny’s compliance with these undertakings in view of the fact that: (i) you directed LLGM not to attend your meetings with the SEC to discuss this and other PUHCA matters; (ii) without notice or explanation to us or to our counsel, you amended your SEC filing to delete a request for authority for Allegheny Energy, Inc. to issue up to $400 million in debt to finance the Transaction; and (iii) other matters, such as the Merrill transaction and the requests in SEC File No. 70-9683 appear to have priority over the SEC Approval required pursuant to our Agreement.</w:t>
      </w:r>
    </w:p>
    <w:p>
      <w:pPr>
        <w:pStyle w:val="NormalIndent"/>
        <w:jc w:val="start"/>
        <w:rPr/>
      </w:pPr>
      <w:r>
        <w:rPr/>
        <w:t xml:space="preserve">While we are very concerned about the issues mentioned above, we are encouraged by our experiences with Allegheny over the past few months (and the professionalism that has been evidenced by the people at Allegheny) and hopeful that we can resolve these matters quickly.  To be clear, however, ENA has not waived, and is not hereby waiving, Allegheny’s obligation to close the Transaction on the terms and within the timeframe specified in the Agreement.  Once you have had an opportunity to review this letter, I would appreciate a phone call so that we can begin the resolution process.  </w:t>
      </w:r>
    </w:p>
    <w:p>
      <w:pPr>
        <w:pStyle w:val="Normal"/>
        <w:rPr/>
      </w:pPr>
      <w:r>
        <w:rPr/>
      </w:r>
    </w:p>
    <w:p>
      <w:pPr>
        <w:pStyle w:val="Normal"/>
        <w:rPr/>
      </w:pPr>
      <w:r>
        <w:rPr/>
      </w:r>
    </w:p>
    <w:p>
      <w:pPr>
        <w:pStyle w:val="Signature"/>
        <w:ind w:start="5040" w:end="0"/>
        <w:rPr/>
      </w:pPr>
      <w:bookmarkStart w:id="3" w:name="Closing"/>
      <w:bookmarkEnd w:id="3"/>
      <w:r>
        <w:rPr/>
        <w:t>Sincerely,</w:t>
      </w:r>
    </w:p>
    <w:p>
      <w:pPr>
        <w:pStyle w:val="Signature"/>
        <w:ind w:start="5040" w:end="0"/>
        <w:rPr/>
      </w:pPr>
      <w:r>
        <w:rPr/>
      </w:r>
    </w:p>
    <w:p>
      <w:pPr>
        <w:pStyle w:val="Signature"/>
        <w:ind w:start="5040" w:end="0"/>
        <w:rPr/>
      </w:pPr>
      <w:r>
        <w:rPr/>
      </w:r>
    </w:p>
    <w:p>
      <w:pPr>
        <w:pStyle w:val="Signature"/>
        <w:ind w:start="5040" w:end="0"/>
        <w:rPr/>
      </w:pPr>
      <w:r>
        <w:rPr/>
        <w:t>Louise Kitchen</w:t>
      </w:r>
    </w:p>
    <w:p>
      <w:pPr>
        <w:pStyle w:val="Signature"/>
        <w:ind w:start="5040" w:end="0"/>
        <w:rPr/>
      </w:pPr>
      <w:r>
        <w:rPr/>
        <w:t>Chief Operating Officer for Enron North America Corp.</w:t>
      </w:r>
    </w:p>
    <w:p>
      <w:pPr>
        <w:pStyle w:val="Signature"/>
        <w:ind w:start="5040" w:end="0"/>
        <w:rPr/>
      </w:pPr>
      <w:r>
        <w:rPr/>
      </w:r>
    </w:p>
    <w:p>
      <w:pPr>
        <w:pStyle w:val="Signature"/>
        <w:ind w:start="5040" w:end="0"/>
        <w:rPr/>
      </w:pPr>
      <w:r>
        <w:rPr/>
      </w:r>
    </w:p>
    <w:p>
      <w:pPr>
        <w:pStyle w:val="Signature"/>
        <w:ind w:start="5040" w:end="0"/>
        <w:rPr/>
      </w:pPr>
      <w:r>
        <w:rPr/>
      </w:r>
    </w:p>
    <w:p>
      <w:pPr>
        <w:pStyle w:val="Signature"/>
        <w:ind w:start="5040" w:end="0"/>
        <w:rPr/>
      </w:pPr>
      <w:r>
        <w:rPr/>
      </w:r>
    </w:p>
    <w:p>
      <w:pPr>
        <w:pStyle w:val="Signature"/>
        <w:ind w:start="5040" w:end="0"/>
        <w:rPr/>
      </w:pPr>
      <w:r>
        <w:rPr/>
      </w:r>
    </w:p>
    <w:p>
      <w:pPr>
        <w:pStyle w:val="Normal"/>
        <w:rPr/>
      </w:pPr>
      <w:r>
        <w:rPr/>
      </w:r>
    </w:p>
    <w:p>
      <w:pPr>
        <w:pStyle w:val="Normal"/>
        <w:rPr/>
      </w:pPr>
      <w:r>
        <w:rPr/>
      </w:r>
    </w:p>
    <w:p>
      <w:pPr>
        <w:pStyle w:val="BodyTextIndent2"/>
        <w:ind w:hanging="1440" w:end="0"/>
        <w:rPr/>
      </w:pPr>
      <w:r>
        <w:rPr/>
        <w:t>cc  Allegheny Energy Supply Company, L.L.C</w:t>
      </w:r>
    </w:p>
    <w:p>
      <w:pPr>
        <w:pStyle w:val="BodyTextIndent2"/>
        <w:ind w:hanging="1080" w:end="0"/>
        <w:rPr/>
      </w:pPr>
      <w:r>
        <w:rPr/>
        <w:t>800 Cabin Hill Drive</w:t>
      </w:r>
    </w:p>
    <w:p>
      <w:pPr>
        <w:pStyle w:val="BodyTextIndent2"/>
        <w:ind w:hanging="1080" w:end="0"/>
        <w:rPr>
          <w:u w:val="single"/>
        </w:rPr>
      </w:pPr>
      <w:r>
        <w:rPr/>
        <w:t>Greensburg, PA  15601</w:t>
      </w:r>
    </w:p>
    <w:p>
      <w:pPr>
        <w:pStyle w:val="BodyTextIndent2"/>
        <w:ind w:hanging="1080" w:end="0"/>
        <w:rPr/>
      </w:pPr>
      <w:r>
        <w:rPr/>
        <w:t>Attention:  Deputy General Counsel</w:t>
      </w:r>
    </w:p>
    <w:p>
      <w:pPr>
        <w:pStyle w:val="BodyTextIndent2"/>
        <w:ind w:hanging="1080" w:end="0"/>
        <w:rPr/>
      </w:pPr>
      <w:r>
        <w:rPr/>
        <w:t>Attention:  David J. Bevilacqua</w:t>
      </w:r>
    </w:p>
    <w:p>
      <w:pPr>
        <w:pStyle w:val="BodyTextIndent2"/>
        <w:ind w:hanging="1080" w:end="0"/>
        <w:rPr/>
      </w:pPr>
      <w:r>
        <w:rPr/>
      </w:r>
    </w:p>
    <w:p>
      <w:pPr>
        <w:pStyle w:val="BodyTextIndent2"/>
        <w:ind w:hanging="1080" w:end="0"/>
        <w:rPr/>
      </w:pPr>
      <w:r>
        <w:rPr/>
        <w:t>Allegheny Energy, Inc.</w:t>
      </w:r>
    </w:p>
    <w:p>
      <w:pPr>
        <w:pStyle w:val="Normal"/>
        <w:tabs>
          <w:tab w:val="clear" w:pos="720"/>
          <w:tab w:val="center" w:pos="4680" w:leader="none"/>
          <w:tab w:val="right" w:pos="9360" w:leader="none"/>
        </w:tabs>
        <w:ind w:firstLine="360" w:end="0"/>
        <w:rPr/>
      </w:pPr>
      <w:r>
        <w:rPr/>
        <w:t>19435 Downsville Pike</w:t>
      </w:r>
    </w:p>
    <w:p>
      <w:pPr>
        <w:pStyle w:val="Normal"/>
        <w:tabs>
          <w:tab w:val="clear" w:pos="720"/>
          <w:tab w:val="center" w:pos="4680" w:leader="none"/>
          <w:tab w:val="right" w:pos="9360" w:leader="none"/>
        </w:tabs>
        <w:ind w:firstLine="360" w:end="0"/>
        <w:rPr/>
      </w:pPr>
      <w:r>
        <w:rPr/>
        <w:t>Hagerstown MD  21740-1766</w:t>
      </w:r>
    </w:p>
    <w:p>
      <w:pPr>
        <w:pStyle w:val="Normal"/>
        <w:tabs>
          <w:tab w:val="clear" w:pos="720"/>
          <w:tab w:val="center" w:pos="4680" w:leader="none"/>
          <w:tab w:val="right" w:pos="9360" w:leader="none"/>
        </w:tabs>
        <w:ind w:firstLine="360" w:end="0"/>
        <w:rPr/>
      </w:pPr>
      <w:r>
        <w:rPr/>
        <w:t>Attn: Thomas K. Henderson</w:t>
      </w:r>
    </w:p>
    <w:p>
      <w:pPr>
        <w:pStyle w:val="Normal"/>
        <w:tabs>
          <w:tab w:val="clear" w:pos="720"/>
          <w:tab w:val="center" w:pos="4680" w:leader="none"/>
          <w:tab w:val="right" w:pos="9360" w:leader="none"/>
        </w:tabs>
        <w:ind w:firstLine="360" w:end="0"/>
        <w:rPr/>
      </w:pPr>
      <w:r>
        <w:rPr/>
        <w:t>Vice President and General Counsel</w:t>
      </w:r>
    </w:p>
    <w:p>
      <w:pPr>
        <w:pStyle w:val="Normal"/>
        <w:tabs>
          <w:tab w:val="clear" w:pos="720"/>
          <w:tab w:val="center" w:pos="4680" w:leader="none"/>
          <w:tab w:val="right" w:pos="9360" w:leader="none"/>
        </w:tabs>
        <w:ind w:firstLine="360" w:end="0"/>
        <w:rPr/>
      </w:pPr>
      <w:r>
        <w:rPr/>
      </w:r>
    </w:p>
    <w:p>
      <w:pPr>
        <w:pStyle w:val="Normal"/>
        <w:tabs>
          <w:tab w:val="clear" w:pos="720"/>
          <w:tab w:val="center" w:pos="4680" w:leader="none"/>
          <w:tab w:val="right" w:pos="9360" w:leader="none"/>
        </w:tabs>
        <w:ind w:firstLine="360" w:end="0"/>
        <w:rPr/>
      </w:pPr>
      <w:r>
        <w:rPr/>
        <w:t>L. Don Miller (Enron North America Corp.)</w:t>
      </w:r>
    </w:p>
    <w:p>
      <w:pPr>
        <w:pStyle w:val="Normal"/>
        <w:tabs>
          <w:tab w:val="clear" w:pos="720"/>
          <w:tab w:val="center" w:pos="4680" w:leader="none"/>
          <w:tab w:val="right" w:pos="9360" w:leader="none"/>
        </w:tabs>
        <w:ind w:firstLine="360" w:end="0"/>
        <w:rPr/>
      </w:pPr>
      <w:r>
        <w:rPr/>
        <w:t>Mark Haedicke (Enron North America Corp.)</w:t>
      </w:r>
    </w:p>
    <w:p>
      <w:pPr>
        <w:pStyle w:val="Normal"/>
        <w:tabs>
          <w:tab w:val="clear" w:pos="720"/>
          <w:tab w:val="center" w:pos="4680" w:leader="none"/>
          <w:tab w:val="right" w:pos="9360" w:leader="none"/>
        </w:tabs>
        <w:ind w:firstLine="360" w:end="0"/>
        <w:rPr/>
      </w:pPr>
      <w:r>
        <w:rPr/>
      </w:r>
    </w:p>
    <w:p>
      <w:pPr>
        <w:pStyle w:val="Normal"/>
        <w:tabs>
          <w:tab w:val="clear" w:pos="720"/>
          <w:tab w:val="center" w:pos="4680" w:leader="none"/>
          <w:tab w:val="right" w:pos="9360" w:leader="none"/>
        </w:tabs>
        <w:ind w:firstLine="360" w:end="0"/>
        <w:rPr/>
      </w:pPr>
      <w:r>
        <w:rPr/>
      </w:r>
    </w:p>
    <w:sectPr>
      <w:headerReference w:type="default" r:id="rId2"/>
      <w:headerReference w:type="first" r:id="rId3"/>
      <w:footerReference w:type="default" r:id="rId4"/>
      <w:footerReference w:type="first" r:id="rId5"/>
      <w:type w:val="nextPage"/>
      <w:pgSz w:w="12240" w:h="15840"/>
      <w:pgMar w:left="1800" w:right="1080" w:gutter="0" w:header="1584" w:top="16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/mnt/main-storage/datasets/enron-docs/doc/Letter_to_Allegheny.doc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/mnt/main-storage/datasets/enron-docs/doc/Letter_to_Allegheny.doc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680" w:leader="none"/>
        <w:tab w:val="center" w:pos="5040" w:leader="none"/>
        <w:tab w:val="right" w:pos="9360" w:leader="none"/>
      </w:tabs>
      <w:rPr/>
    </w:pPr>
    <w:r>
      <w:rPr/>
      <w:tab/>
    </w:r>
    <w:r>
      <w:rPr>
        <w:b/>
      </w:rPr>
      <w:t xml:space="preserve"> </w:t>
    </w:r>
  </w:p>
  <w:p>
    <w:pPr>
      <w:pStyle w:val="Header"/>
      <w:tabs>
        <w:tab w:val="center" w:pos="4680" w:leader="none"/>
        <w:tab w:val="center" w:pos="5040" w:leader="none"/>
        <w:tab w:val="right" w:pos="9360" w:leader="none"/>
      </w:tabs>
      <w:rPr/>
    </w:pPr>
    <w:r>
      <w:rPr/>
      <w:fldChar w:fldCharType="begin"/>
    </w:r>
    <w:r>
      <w:rPr/>
      <w:instrText xml:space="preserve"> DATE \@"MMMM\ d', 'yyyy" </w:instrText>
    </w:r>
    <w:r>
      <w:rPr/>
      <w:fldChar w:fldCharType="separate"/>
    </w:r>
    <w:r>
      <w:rPr/>
      <w:t>September 28, 2025</w:t>
    </w:r>
    <w:r>
      <w:rPr/>
      <w:fldChar w:fldCharType="end"/>
    </w:r>
  </w:p>
  <w:p>
    <w:pPr>
      <w:pStyle w:val="Header"/>
      <w:tabs>
        <w:tab w:val="center" w:pos="4680" w:leader="none"/>
        <w:tab w:val="center" w:pos="5040" w:leader="none"/>
        <w:tab w:val="right" w:pos="9360" w:leader="none"/>
      </w:tabs>
      <w:rPr/>
    </w:pPr>
    <w:r>
      <w:rPr/>
      <w:t xml:space="preserve">Page </w:t>
    </w:r>
    <w:r>
      <w:rPr/>
      <w:fldChar w:fldCharType="begin"/>
    </w:r>
    <w:r>
      <w:rPr/>
      <w:instrText xml:space="preserve"> PAGE </w:instrText>
    </w:r>
    <w:r>
      <w:rPr/>
      <w:fldChar w:fldCharType="separate"/>
    </w:r>
    <w:r>
      <w:rPr/>
      <w:t>4</w:t>
    </w:r>
    <w:r>
      <w:rPr/>
      <w:fldChar w:fldCharType="end"/>
    </w:r>
  </w:p>
  <w:p>
    <w:pPr>
      <w:pStyle w:val="Header"/>
      <w:tabs>
        <w:tab w:val="center" w:pos="4680" w:leader="none"/>
        <w:tab w:val="center" w:pos="5040" w:leader="none"/>
        <w:tab w:val="right" w:pos="9360" w:leader="none"/>
      </w:tabs>
      <w:rPr/>
    </w:pPr>
    <w:r>
      <w:rPr/>
    </w:r>
  </w:p>
  <w:p>
    <w:pPr>
      <w:pStyle w:val="Header"/>
      <w:tabs>
        <w:tab w:val="center" w:pos="4680" w:leader="none"/>
        <w:tab w:val="center" w:pos="504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u w:val="single"/>
    </w:rPr>
  </w:style>
  <w:style w:type="character" w:styleId="WW8Num3z0">
    <w:name w:val="WW8Num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5040" w:leader="none"/>
        <w:tab w:val="right" w:pos="9360" w:leader="none"/>
      </w:tabs>
      <w:jc w:val="both"/>
    </w:pPr>
    <w:rPr/>
  </w:style>
  <w:style w:type="paragraph" w:styleId="Footer">
    <w:name w:val="footer"/>
    <w:basedOn w:val="Normal"/>
    <w:pPr>
      <w:tabs>
        <w:tab w:val="clear" w:pos="720"/>
        <w:tab w:val="center" w:pos="4680" w:leader="none"/>
        <w:tab w:val="right" w:pos="9360" w:leader="none"/>
      </w:tabs>
      <w:jc w:val="both"/>
    </w:pPr>
    <w:rPr>
      <w:sz w:val="16"/>
    </w:rPr>
  </w:style>
  <w:style w:type="paragraph" w:styleId="NormalIndent">
    <w:name w:val="Normal Indent"/>
    <w:basedOn w:val="Normal"/>
    <w:qFormat/>
    <w:pPr>
      <w:spacing w:before="0" w:after="240"/>
      <w:ind w:firstLine="1440" w:start="0" w:end="0"/>
      <w:jc w:val="both"/>
    </w:pPr>
    <w:rPr/>
  </w:style>
  <w:style w:type="paragraph" w:styleId="Signature">
    <w:name w:val="Signature"/>
    <w:basedOn w:val="Normal"/>
    <w:pPr>
      <w:ind w:hanging="0" w:start="4320" w:end="0"/>
    </w:pPr>
    <w:rPr/>
  </w:style>
  <w:style w:type="paragraph" w:styleId="FootnoteText">
    <w:name w:val="footnote text"/>
    <w:basedOn w:val="Normal"/>
    <w:pPr>
      <w:tabs>
        <w:tab w:val="clear" w:pos="720"/>
        <w:tab w:val="left" w:pos="360" w:leader="none"/>
        <w:tab w:val="left" w:pos="634" w:leader="none"/>
      </w:tabs>
      <w:spacing w:before="0" w:after="240"/>
      <w:jc w:val="both"/>
    </w:pPr>
    <w:rPr/>
  </w:style>
  <w:style w:type="paragraph" w:styleId="EnvelopeAddress">
    <w:name w:val="envelope address"/>
    <w:basedOn w:val="Normal"/>
    <w:pPr>
      <w:ind w:hanging="0" w:start="2880" w:end="0"/>
      <w:jc w:val="both"/>
    </w:pPr>
    <w:rPr/>
  </w:style>
  <w:style w:type="paragraph" w:styleId="EnvelopeReturn">
    <w:name w:val="envelope return"/>
    <w:basedOn w:val="Normal"/>
    <w:pPr>
      <w:jc w:val="both"/>
    </w:pPr>
    <w:rPr/>
  </w:style>
  <w:style w:type="paragraph" w:styleId="BodyText2">
    <w:name w:val="Body Text 2"/>
    <w:basedOn w:val="Normal"/>
    <w:qFormat/>
    <w:pPr>
      <w:spacing w:lineRule="auto" w:line="480" w:before="0" w:after="120"/>
    </w:pPr>
    <w:rPr/>
  </w:style>
  <w:style w:type="paragraph" w:styleId="BodyTextIndent2">
    <w:name w:val="Body Text Indent 2"/>
    <w:basedOn w:val="BodyText2"/>
    <w:qFormat/>
    <w:pPr>
      <w:spacing w:lineRule="auto" w:line="240" w:before="0" w:after="0"/>
      <w:ind w:hanging="0" w:start="1440" w:end="0"/>
      <w:jc w:val="both"/>
    </w:pPr>
    <w:rPr/>
  </w:style>
  <w:style w:type="paragraph" w:styleId="HeaderLeft">
    <w:name w:val="Header Left"/>
    <w:basedOn w:val="Header"/>
    <w:qFormat/>
    <w:pPr>
      <w:suppressLineNumbers/>
      <w:tabs>
        <w:tab w:val="clear" w:pos="50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2001-03-06T17:33:00Z</dcterms:created>
  <dc:creator>Baker &amp; Botts, L.L.P.</dc:creator>
  <dc:description>DC01:284083.1</dc:description>
  <dc:language>en-CA</dc:language>
  <cp:lastModifiedBy>dmille2</cp:lastModifiedBy>
  <cp:lastPrinted>2001-03-06T13:51:00Z</cp:lastPrinted>
  <dcterms:modified xsi:type="dcterms:W3CDTF">2001-03-06T17:43:00Z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Disabled</vt:lpwstr>
  </property>
</Properties>
</file>