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BodyText"/>
        <w:jc w:val="center"/>
        <w:rPr/>
      </w:pPr>
      <w:r>
        <w:rPr/>
        <w:t>[Enron North America letterhead]</w:t>
      </w:r>
    </w:p>
    <w:p>
      <w:pPr>
        <w:pStyle w:val="BodyText"/>
        <w:jc w:val="center"/>
        <w:rPr/>
      </w:pPr>
      <w:r>
        <w:rPr/>
      </w:r>
    </w:p>
    <w:p>
      <w:pPr>
        <w:pStyle w:val="BodyText"/>
        <w:jc w:val="center"/>
        <w:rPr/>
      </w:pPr>
      <w:r>
        <w:rPr/>
      </w:r>
    </w:p>
    <w:p>
      <w:pPr>
        <w:pStyle w:val="BodyText"/>
        <w:jc w:val="center"/>
        <w:rPr/>
      </w:pPr>
      <w:r>
        <w:rPr/>
        <w:t>August 1, 2000</w:t>
      </w:r>
    </w:p>
    <w:p>
      <w:pPr>
        <w:pStyle w:val="BodyText"/>
        <w:jc w:val="center"/>
        <w:rPr/>
      </w:pPr>
      <w:r>
        <w:rPr/>
      </w:r>
    </w:p>
    <w:p>
      <w:pPr>
        <w:pStyle w:val="BodyText"/>
        <w:jc w:val="center"/>
        <w:rPr/>
      </w:pPr>
      <w:r>
        <w:rPr/>
      </w:r>
    </w:p>
    <w:p>
      <w:pPr>
        <w:pStyle w:val="BodyText"/>
        <w:jc w:val="center"/>
        <w:rPr/>
      </w:pPr>
      <w:r>
        <w:rPr/>
      </w:r>
    </w:p>
    <w:p>
      <w:pPr>
        <w:pStyle w:val="BodyText"/>
        <w:tabs>
          <w:tab w:val="clear" w:pos="720"/>
          <w:tab w:val="right" w:pos="2160" w:leader="none"/>
        </w:tabs>
        <w:rPr/>
      </w:pPr>
      <w:r>
        <w:rPr/>
        <w:t>Mr. Robert Hill</w:t>
      </w:r>
    </w:p>
    <w:p>
      <w:pPr>
        <w:pStyle w:val="BodyText"/>
        <w:tabs>
          <w:tab w:val="clear" w:pos="720"/>
          <w:tab w:val="right" w:pos="2160" w:leader="none"/>
        </w:tabs>
        <w:rPr/>
      </w:pPr>
      <w:r>
        <w:rPr/>
        <w:t xml:space="preserve">Northern Border Intermediate </w:t>
      </w:r>
    </w:p>
    <w:p>
      <w:pPr>
        <w:pStyle w:val="BodyText"/>
        <w:tabs>
          <w:tab w:val="clear" w:pos="720"/>
          <w:tab w:val="right" w:pos="2160" w:leader="none"/>
        </w:tabs>
        <w:rPr/>
      </w:pPr>
      <w:r>
        <w:rPr/>
        <w:t xml:space="preserve">    </w:t>
      </w:r>
      <w:r>
        <w:rPr/>
        <w:t>Limited Partnership</w:t>
      </w:r>
    </w:p>
    <w:p>
      <w:pPr>
        <w:pStyle w:val="BodyText"/>
        <w:tabs>
          <w:tab w:val="clear" w:pos="720"/>
          <w:tab w:val="right" w:pos="2160" w:leader="none"/>
        </w:tabs>
        <w:rPr/>
      </w:pPr>
      <w:r>
        <w:rPr/>
        <w:t>1111 South 103rd Street</w:t>
      </w:r>
    </w:p>
    <w:p>
      <w:pPr>
        <w:pStyle w:val="BodyText"/>
        <w:tabs>
          <w:tab w:val="clear" w:pos="720"/>
          <w:tab w:val="right" w:pos="2160" w:leader="none"/>
        </w:tabs>
        <w:rPr/>
      </w:pPr>
      <w:r>
        <w:rPr/>
        <w:t>Omaha, Nebraska  68124-1000</w:t>
      </w:r>
    </w:p>
    <w:p>
      <w:pPr>
        <w:pStyle w:val="BodyText"/>
        <w:rPr/>
      </w:pPr>
      <w:r>
        <w:rPr/>
      </w:r>
    </w:p>
    <w:p>
      <w:pPr>
        <w:pStyle w:val="BodyText"/>
        <w:ind w:start="1440" w:end="0"/>
        <w:rPr/>
      </w:pPr>
      <w:r>
        <w:rPr>
          <w:i/>
        </w:rPr>
        <w:t>Re:</w:t>
      </w:r>
      <w:r>
        <w:rPr/>
        <w:tab/>
      </w:r>
      <w:r>
        <w:rPr>
          <w:i/>
        </w:rPr>
        <w:t>Letter of Understanding - Proposed Sale of Membership Interests</w:t>
      </w:r>
    </w:p>
    <w:p>
      <w:pPr>
        <w:pStyle w:val="BodyText"/>
        <w:rPr>
          <w:b/>
        </w:rPr>
      </w:pPr>
      <w:r>
        <w:rPr>
          <w:b/>
        </w:rPr>
      </w:r>
    </w:p>
    <w:p>
      <w:pPr>
        <w:pStyle w:val="BodyText"/>
        <w:rPr/>
      </w:pPr>
      <w:r>
        <w:rPr/>
        <w:t>Dear Bob:</w:t>
      </w:r>
    </w:p>
    <w:p>
      <w:pPr>
        <w:pStyle w:val="BodyText"/>
        <w:rPr/>
      </w:pPr>
      <w:r>
        <w:rPr/>
      </w:r>
    </w:p>
    <w:p>
      <w:pPr>
        <w:pStyle w:val="BodyTextFirstIndent"/>
        <w:rPr/>
      </w:pPr>
      <w:r>
        <w:rPr/>
        <w:t xml:space="preserve">Pending the preparation and execution of a definitive purchase and sale agreement, this letter will confirm our understanding regarding the proposed sale by Enron North America Corp. (the “Seller”) to Northern Border Intermediate Limited Partnership or its designee (the “Buyer”) of the limited liability company membership interests described in the Term Sheet attached to this letter as </w:t>
      </w:r>
      <w:r>
        <w:rPr>
          <w:i/>
        </w:rPr>
        <w:t xml:space="preserve">Attachment 1 </w:t>
      </w:r>
      <w:r>
        <w:rPr/>
        <w:t>for the price and on the other terms and conditions set forth in this letter and the Term Sheet (the “Transaction”).</w:t>
      </w:r>
    </w:p>
    <w:p>
      <w:pPr>
        <w:pStyle w:val="Heading1"/>
        <w:tabs>
          <w:tab w:val="left" w:pos="720" w:leader="none"/>
          <w:tab w:val="left" w:pos="1440" w:leader="none"/>
        </w:tabs>
        <w:ind w:firstLine="720" w:start="0" w:end="0"/>
        <w:rPr/>
      </w:pPr>
      <w:r>
        <w:rPr>
          <w:i/>
        </w:rPr>
        <w:t>Term Sheet</w:t>
      </w:r>
      <w:r>
        <w:rPr/>
        <w:t>.  The terms and conditions of the Transaction are set forth in this letter and the Term Sheet.  To the extent there is any conflict between the Term Sheet and this letter, this letter shall control.</w:t>
      </w:r>
    </w:p>
    <w:p>
      <w:pPr>
        <w:pStyle w:val="Heading1"/>
        <w:tabs>
          <w:tab w:val="left" w:pos="720" w:leader="none"/>
          <w:tab w:val="left" w:pos="1440" w:leader="none"/>
        </w:tabs>
        <w:ind w:firstLine="720" w:start="0" w:end="0"/>
        <w:rPr/>
      </w:pPr>
      <w:r>
        <w:rPr>
          <w:i/>
        </w:rPr>
        <w:t>Definitive Purchase Agreement</w:t>
      </w:r>
      <w:r>
        <w:rPr/>
        <w:t>.  Buyer and Seller shall endeavor to incorporate the terms and conditions expressed herein and in the Term Sheet and such other terms as the parties may agree to in a mutually acceptable Purchase and Sale Agreement (the “Purchase Agreement”).  If the parties can reach agreement, the parties intend to enter into the Purchase Agreement no later than August 31, 2000.  If Buyer and Seller are unable to execute and deliver the Purchase Agreement (for any reason or no reason) by the close of business on September 15, 2000, this letter shall terminate, and except as otherwise provided herein, neither Buyer nor Seller shall have any further obligations or liabilities to the other party in respect of this letter or the Transaction.</w:t>
      </w:r>
    </w:p>
    <w:p>
      <w:pPr>
        <w:pStyle w:val="Heading1"/>
        <w:tabs>
          <w:tab w:val="clear" w:pos="720"/>
          <w:tab w:val="left" w:pos="1440" w:leader="none"/>
        </w:tabs>
        <w:ind w:firstLine="720" w:start="0" w:end="0"/>
        <w:rPr/>
      </w:pPr>
      <w:r>
        <w:rPr>
          <w:i/>
        </w:rPr>
        <w:t>Confidentiality</w:t>
      </w:r>
      <w:r>
        <w:rPr/>
        <w:t>.  This letter of understanding and the negotiations between the parties in respect of the Transaction shall be subject to the terms of the Confidentiality Agreement between Buyer and Seller dated April 19, 2000.</w:t>
      </w:r>
    </w:p>
    <w:p>
      <w:pPr>
        <w:pStyle w:val="Heading1"/>
        <w:tabs>
          <w:tab w:val="clear" w:pos="720"/>
          <w:tab w:val="left" w:pos="1440" w:leader="none"/>
        </w:tabs>
        <w:ind w:firstLine="720" w:start="0" w:end="0"/>
        <w:rPr/>
      </w:pPr>
      <w:r>
        <w:rPr>
          <w:i/>
        </w:rPr>
        <w:t>Public Announcements</w:t>
      </w:r>
      <w:r>
        <w:rPr/>
        <w:t xml:space="preserve">.  Except as required by applicable law or stock exchange rules, each party agrees to advise and consult with the other party, and obtain the other party’s written consent, before issuing or making any press release or other public disclosure with respect to the Transaction.  </w:t>
      </w:r>
    </w:p>
    <w:p>
      <w:pPr>
        <w:pStyle w:val="Heading1"/>
        <w:tabs>
          <w:tab w:val="clear" w:pos="720"/>
          <w:tab w:val="left" w:pos="1440" w:leader="none"/>
        </w:tabs>
        <w:ind w:firstLine="720" w:start="0" w:end="0"/>
        <w:rPr/>
      </w:pPr>
      <w:r>
        <w:rPr>
          <w:i/>
        </w:rPr>
        <w:t>Board of Director Approval</w:t>
      </w:r>
      <w:r>
        <w:rPr/>
        <w:t>.  The closing of the Transaction is subject to, in addition to the other conditions herein and in the Term Sheet, the approval of the board of directors of Seller and the audit committee and the policy committee of Buyer, which approvals have not yet been obtained.</w:t>
      </w:r>
    </w:p>
    <w:p>
      <w:pPr>
        <w:pStyle w:val="Heading1"/>
        <w:tabs>
          <w:tab w:val="clear" w:pos="720"/>
          <w:tab w:val="left" w:pos="1440" w:leader="none"/>
        </w:tabs>
        <w:ind w:firstLine="720" w:start="0" w:end="0"/>
        <w:rPr/>
      </w:pPr>
      <w:r>
        <w:rPr>
          <w:i/>
        </w:rPr>
        <w:t>Non-binding Nature</w:t>
      </w:r>
      <w:r>
        <w:rPr/>
        <w:t xml:space="preserve">.  Except as to the confidentiality provisions in Paragraph 3 and the public announcement provisions in Paragraph 4, which are binding on the parties, the parties understand and agree that this letter sets forth each party’s current understanding of agreements which may be set out in a binding fashion in the Purchase Agreements to be executed at a later date.  This letter does not create and is not intended to create a binding and enforceable contract between the parties or a duty on the part of either party to negotiate in good faith toward a binding contract and may not be relied upon by either party as the basis for a contract by estoppel or otherwise, but rather this letter evidences a non-binding expression of the understanding of each party to endeavor, without obligation, to negotiate the terms of the Transaction.  </w:t>
      </w:r>
    </w:p>
    <w:p>
      <w:pPr>
        <w:pStyle w:val="Heading1"/>
        <w:tabs>
          <w:tab w:val="clear" w:pos="720"/>
          <w:tab w:val="left" w:pos="1440" w:leader="none"/>
        </w:tabs>
        <w:ind w:firstLine="720" w:start="0" w:end="0"/>
        <w:rPr/>
      </w:pPr>
      <w:r>
        <w:rPr>
          <w:i/>
        </w:rPr>
        <w:t>No Oral Agreements</w:t>
      </w:r>
      <w:r>
        <w:rPr/>
        <w:t>.  This letter and the Term Sheet set out the parties’ understandings as of this date in respect to the Transaction, and there are no other written or oral agreements or understandings between the parties in respect of the Transaction.</w:t>
      </w:r>
    </w:p>
    <w:p>
      <w:pPr>
        <w:pStyle w:val="BodyTextFirstIndent"/>
        <w:keepNext w:val="true"/>
        <w:widowControl w:val="false"/>
        <w:rPr/>
      </w:pPr>
      <w:r>
        <w:rPr/>
        <w:t>If you are in agreement with the terms and conditions of this letter, please sign the enclosed counterpart of this letter in the space provided below and return it to undersigned.  If the executed counterpart of this letter is not received by Seller by the close of business on August 4, 2000, this letter shall be null and void.</w:t>
      </w:r>
    </w:p>
    <w:p>
      <w:pPr>
        <w:pStyle w:val="Signature"/>
        <w:widowControl w:val="false"/>
        <w:rPr/>
      </w:pPr>
      <w:r>
        <w:rPr/>
        <w:t>Very truly yours,</w:t>
      </w:r>
    </w:p>
    <w:p>
      <w:pPr>
        <w:pStyle w:val="Signature"/>
        <w:widowControl w:val="false"/>
        <w:rPr/>
      </w:pPr>
      <w:r>
        <w:rPr/>
      </w:r>
    </w:p>
    <w:p>
      <w:pPr>
        <w:pStyle w:val="Signature"/>
        <w:keepNext w:val="true"/>
        <w:keepLines/>
        <w:widowControl w:val="false"/>
        <w:rPr/>
      </w:pPr>
      <w:r>
        <w:rPr/>
        <w:t>ENRON NORTH AMERICA CORP.</w:t>
      </w:r>
    </w:p>
    <w:p>
      <w:pPr>
        <w:pStyle w:val="Signature"/>
        <w:rPr/>
      </w:pPr>
      <w:r>
        <w:rPr/>
      </w:r>
    </w:p>
    <w:p>
      <w:pPr>
        <w:pStyle w:val="Signature"/>
        <w:tabs>
          <w:tab w:val="clear" w:pos="9360"/>
          <w:tab w:val="right" w:pos="8640" w:leader="none"/>
        </w:tabs>
        <w:rPr/>
      </w:pPr>
      <w:r>
        <w:rPr/>
        <w:t>By:</w:t>
      </w:r>
      <w:r>
        <w:rPr>
          <w:u w:val="single"/>
        </w:rPr>
        <w:tab/>
      </w:r>
    </w:p>
    <w:p>
      <w:pPr>
        <w:pStyle w:val="Signature"/>
        <w:tabs>
          <w:tab w:val="clear" w:pos="9360"/>
          <w:tab w:val="right" w:pos="8640" w:leader="none"/>
        </w:tabs>
        <w:rPr/>
      </w:pPr>
      <w:r>
        <w:rPr/>
        <w:t>Name:</w:t>
      </w:r>
      <w:r>
        <w:rPr>
          <w:u w:val="single"/>
        </w:rPr>
        <w:tab/>
      </w:r>
    </w:p>
    <w:p>
      <w:pPr>
        <w:pStyle w:val="Signature"/>
        <w:tabs>
          <w:tab w:val="clear" w:pos="9360"/>
          <w:tab w:val="right" w:pos="8640" w:leader="none"/>
        </w:tabs>
        <w:rPr/>
      </w:pPr>
      <w:r>
        <w:rPr/>
        <w:t>Title:</w:t>
      </w:r>
      <w:r>
        <w:rPr>
          <w:u w:val="single"/>
        </w:rPr>
        <w:tab/>
      </w:r>
    </w:p>
    <w:p>
      <w:pPr>
        <w:pStyle w:val="BodyText"/>
        <w:rPr/>
      </w:pPr>
      <w:r>
        <w:rPr/>
      </w:r>
    </w:p>
    <w:p>
      <w:pPr>
        <w:pStyle w:val="BodyText"/>
        <w:rPr/>
      </w:pPr>
      <w:r>
        <w:rPr/>
      </w:r>
    </w:p>
    <w:p>
      <w:pPr>
        <w:pStyle w:val="BodyText"/>
        <w:rPr/>
      </w:pPr>
      <w:r>
        <w:rPr/>
        <w:t>ACCEPTED and AGREED TO</w:t>
      </w:r>
    </w:p>
    <w:p>
      <w:pPr>
        <w:pStyle w:val="BodyText"/>
        <w:rPr/>
      </w:pPr>
      <w:r>
        <w:rPr/>
        <w:t>this __ day of ______, 2000:</w:t>
      </w:r>
    </w:p>
    <w:p>
      <w:pPr>
        <w:pStyle w:val="BodyText"/>
        <w:rPr/>
      </w:pPr>
      <w:r>
        <w:rPr/>
      </w:r>
    </w:p>
    <w:p>
      <w:pPr>
        <w:pStyle w:val="BodyText"/>
        <w:rPr/>
      </w:pPr>
      <w:r>
        <w:rPr/>
        <w:t xml:space="preserve">NORTHERN BORDER INTERMEDIATE </w:t>
      </w:r>
    </w:p>
    <w:p>
      <w:pPr>
        <w:pStyle w:val="BodyText"/>
        <w:rPr/>
      </w:pPr>
      <w:r>
        <w:rPr/>
        <w:t xml:space="preserve">    </w:t>
      </w:r>
      <w:r>
        <w:rPr/>
        <w:t>LIMITED PARTNERSHIP</w:t>
      </w:r>
    </w:p>
    <w:p>
      <w:pPr>
        <w:pStyle w:val="BodyText"/>
        <w:rPr/>
      </w:pPr>
      <w:r>
        <w:rPr/>
      </w:r>
    </w:p>
    <w:p>
      <w:pPr>
        <w:pStyle w:val="BodyText"/>
        <w:tabs>
          <w:tab w:val="clear" w:pos="720"/>
          <w:tab w:val="right" w:pos="3600" w:leader="none"/>
        </w:tabs>
        <w:rPr/>
      </w:pPr>
      <w:r>
        <w:rPr/>
        <w:t>By:</w:t>
      </w:r>
      <w:r>
        <w:rPr>
          <w:u w:val="single"/>
        </w:rPr>
        <w:tab/>
      </w:r>
    </w:p>
    <w:p>
      <w:pPr>
        <w:pStyle w:val="BodyText"/>
        <w:tabs>
          <w:tab w:val="clear" w:pos="720"/>
          <w:tab w:val="right" w:pos="3600" w:leader="none"/>
        </w:tabs>
        <w:rPr/>
      </w:pPr>
      <w:r>
        <w:rPr/>
        <w:t>Name:</w:t>
      </w:r>
      <w:r>
        <w:rPr>
          <w:u w:val="single"/>
        </w:rPr>
        <w:tab/>
      </w:r>
    </w:p>
    <w:p>
      <w:pPr>
        <w:pStyle w:val="BodyText"/>
        <w:tabs>
          <w:tab w:val="clear" w:pos="720"/>
          <w:tab w:val="right" w:pos="3600" w:leader="none"/>
        </w:tabs>
        <w:rPr/>
      </w:pPr>
      <w:r>
        <w:rPr/>
        <w:t>Title:</w:t>
      </w:r>
      <w:r>
        <w:rPr>
          <w:u w:val="single"/>
        </w:rPr>
        <w:tab/>
      </w:r>
      <w:r>
        <w:br w:type="page"/>
      </w:r>
    </w:p>
    <w:p>
      <w:pPr>
        <w:pStyle w:val="BodyText"/>
        <w:tabs>
          <w:tab w:val="clear" w:pos="720"/>
          <w:tab w:val="right" w:pos="3600" w:leader="none"/>
        </w:tabs>
        <w:rPr>
          <w:u w:val="single"/>
        </w:rPr>
      </w:pPr>
      <w:r>
        <w:rPr>
          <w:u w:val="single"/>
        </w:rPr>
      </w:r>
    </w:p>
    <w:p>
      <w:pPr>
        <w:pStyle w:val="Title"/>
        <w:spacing w:before="240" w:after="0"/>
        <w:rPr/>
      </w:pPr>
      <w:r>
        <w:rPr/>
        <w:t>Attachment 1</w:t>
      </w:r>
    </w:p>
    <w:p>
      <w:pPr>
        <w:pStyle w:val="Title"/>
        <w:spacing w:before="240" w:after="0"/>
        <w:rPr>
          <w:sz w:val="20"/>
        </w:rPr>
      </w:pPr>
      <w:r>
        <w:rPr/>
        <w:t>TRANSACTION TERM SHEET</w:t>
      </w:r>
    </w:p>
    <w:p>
      <w:pPr>
        <w:pStyle w:val="BodyText"/>
        <w:rPr>
          <w:sz w:val="20"/>
        </w:rPr>
      </w:pPr>
      <w:r>
        <w:rPr>
          <w:sz w:val="20"/>
        </w:rPr>
      </w:r>
    </w:p>
    <w:p>
      <w:pPr>
        <w:pStyle w:val="table"/>
        <w:rPr/>
      </w:pPr>
      <w:r>
        <w:rPr/>
      </w:r>
    </w:p>
    <w:tbl>
      <w:tblPr>
        <w:tblW w:w="9576" w:type="dxa"/>
        <w:jc w:val="start"/>
        <w:tblInd w:w="0" w:type="dxa"/>
        <w:tblLayout w:type="fixed"/>
        <w:tblCellMar>
          <w:top w:w="0" w:type="dxa"/>
          <w:start w:w="108" w:type="dxa"/>
          <w:bottom w:w="0" w:type="dxa"/>
          <w:end w:w="108" w:type="dxa"/>
        </w:tblCellMar>
      </w:tblPr>
      <w:tblGrid>
        <w:gridCol w:w="2268"/>
        <w:gridCol w:w="7308"/>
      </w:tblGrid>
      <w:tr>
        <w:trPr/>
        <w:tc>
          <w:tcPr>
            <w:tcW w:w="2268" w:type="dxa"/>
            <w:tcBorders/>
          </w:tcPr>
          <w:p>
            <w:pPr>
              <w:pStyle w:val="Normal"/>
              <w:rPr>
                <w:sz w:val="24"/>
              </w:rPr>
            </w:pPr>
            <w:r>
              <w:rPr>
                <w:b/>
                <w:sz w:val="24"/>
              </w:rPr>
              <w:t>Parties:</w:t>
            </w:r>
          </w:p>
        </w:tc>
        <w:tc>
          <w:tcPr>
            <w:tcW w:w="7308" w:type="dxa"/>
            <w:tcBorders/>
          </w:tcPr>
          <w:p>
            <w:pPr>
              <w:pStyle w:val="Normal"/>
              <w:jc w:val="both"/>
              <w:rPr>
                <w:sz w:val="24"/>
              </w:rPr>
            </w:pPr>
            <w:r>
              <w:rPr>
                <w:sz w:val="24"/>
              </w:rPr>
              <w:t>Enron North America Corp., as seller (“Seller”) and Northern Border Intermediate Limited Partnership, or its affiliate, as buyer (“Buyer”).  Buyer and Seller are referred to herein individually as a “Party” and collectively as the “Parties.”</w:t>
            </w:r>
          </w:p>
          <w:p>
            <w:pPr>
              <w:pStyle w:val="Normal"/>
              <w:jc w:val="both"/>
              <w:rPr>
                <w:sz w:val="24"/>
              </w:rPr>
            </w:pPr>
            <w:r>
              <w:rPr>
                <w:sz w:val="24"/>
              </w:rPr>
            </w:r>
          </w:p>
        </w:tc>
      </w:tr>
      <w:tr>
        <w:trPr/>
        <w:tc>
          <w:tcPr>
            <w:tcW w:w="2268" w:type="dxa"/>
            <w:tcBorders/>
          </w:tcPr>
          <w:p>
            <w:pPr>
              <w:pStyle w:val="Normal"/>
              <w:rPr>
                <w:b/>
                <w:sz w:val="24"/>
              </w:rPr>
            </w:pPr>
            <w:r>
              <w:rPr>
                <w:b/>
                <w:sz w:val="24"/>
              </w:rPr>
              <w:t>Structure and</w:t>
            </w:r>
          </w:p>
          <w:p>
            <w:pPr>
              <w:pStyle w:val="Normal"/>
              <w:rPr>
                <w:b/>
                <w:sz w:val="24"/>
              </w:rPr>
            </w:pPr>
            <w:r>
              <w:rPr>
                <w:b/>
                <w:sz w:val="24"/>
              </w:rPr>
              <w:t>Purpose of Buyer:</w:t>
            </w:r>
          </w:p>
        </w:tc>
        <w:tc>
          <w:tcPr>
            <w:tcW w:w="7308" w:type="dxa"/>
            <w:tcBorders/>
          </w:tcPr>
          <w:p>
            <w:pPr>
              <w:pStyle w:val="BodyText"/>
              <w:ind w:firstLine="18" w:start="-18" w:end="0"/>
              <w:rPr/>
            </w:pPr>
            <w:r>
              <w:rPr/>
              <w:t xml:space="preserve">Buyer will be a subsidiary of Northern Border Partners, L.P. created to hold the Transferred Membership Interests and to manage and develop the existing assets of the Transferred Entities and develop new opportunities.  Buyer will focus on capital investments and acquisition opportunities to complement the assets owned by the Transferred Entities.  A to be designated wholly-owned subsidiary of Enron Corp. will be the commercial originator and operating entity to manage the business of the Transferred Entities after the Closing Date (the “Management Company”).  Buyer and the Management Company shall enter into the Management Agreement described below on the closing of the Transaction.  After the closing of the Transaction, Seller and Buyer will develop a cooperative strategy to draw upon existing customer relationships and origination activities of the parties to develop new business opportunities.  </w:t>
            </w:r>
          </w:p>
          <w:p>
            <w:pPr>
              <w:pStyle w:val="BodyText"/>
              <w:ind w:firstLine="18" w:start="-18" w:end="0"/>
              <w:rPr/>
            </w:pPr>
            <w:r>
              <w:rPr/>
            </w:r>
          </w:p>
        </w:tc>
      </w:tr>
      <w:tr>
        <w:trPr/>
        <w:tc>
          <w:tcPr>
            <w:tcW w:w="2268" w:type="dxa"/>
            <w:tcBorders/>
          </w:tcPr>
          <w:p>
            <w:pPr>
              <w:pStyle w:val="Normal"/>
              <w:rPr>
                <w:b/>
                <w:sz w:val="24"/>
              </w:rPr>
            </w:pPr>
            <w:r>
              <w:rPr>
                <w:b/>
                <w:sz w:val="24"/>
              </w:rPr>
              <w:t>Structure of</w:t>
            </w:r>
          </w:p>
          <w:p>
            <w:pPr>
              <w:pStyle w:val="Normal"/>
              <w:jc w:val="both"/>
              <w:rPr>
                <w:b/>
                <w:sz w:val="24"/>
              </w:rPr>
            </w:pPr>
            <w:r>
              <w:rPr>
                <w:b/>
                <w:sz w:val="24"/>
              </w:rPr>
              <w:t>Transaction:</w:t>
            </w:r>
          </w:p>
        </w:tc>
        <w:tc>
          <w:tcPr>
            <w:tcW w:w="7308" w:type="dxa"/>
            <w:tcBorders/>
          </w:tcPr>
          <w:p>
            <w:pPr>
              <w:pStyle w:val="BodyText"/>
              <w:ind w:firstLine="18" w:start="-18" w:end="0"/>
              <w:rPr/>
            </w:pPr>
            <w:r>
              <w:rPr/>
              <w:t>Under the</w:t>
            </w:r>
            <w:r>
              <w:rPr>
                <w:b/>
              </w:rPr>
              <w:t xml:space="preserve"> </w:t>
            </w:r>
            <w:r>
              <w:rPr/>
              <w:t xml:space="preserve">Purchase Agreement, the Transaction will be structured as the sale and transfer by Seller (and certain other parties), and the purchase by Buyer, of 100% of the membership interests (the “Transferred Membership Interests”) in the following Delaware limited liability companies (the “Transferred Entities”). </w:t>
            </w:r>
          </w:p>
          <w:p>
            <w:pPr>
              <w:pStyle w:val="BodyText"/>
              <w:ind w:hanging="3600" w:start="3600" w:end="0"/>
              <w:rPr/>
            </w:pPr>
            <w:r>
              <w:rPr/>
            </w:r>
          </w:p>
          <w:p>
            <w:pPr>
              <w:pStyle w:val="BodyText"/>
              <w:ind w:firstLine="360" w:start="612" w:end="0"/>
              <w:rPr/>
            </w:pPr>
            <w:r>
              <w:rPr/>
              <w:t xml:space="preserve">1.  </w:t>
            </w:r>
            <w:r>
              <w:rPr>
                <w:i/>
              </w:rPr>
              <w:t>ECT Wind</w:t>
            </w:r>
            <w:r>
              <w:rPr>
                <w:b/>
                <w:i/>
              </w:rPr>
              <w:t xml:space="preserve"> </w:t>
            </w:r>
            <w:r>
              <w:rPr>
                <w:i/>
              </w:rPr>
              <w:t>River, L.L.C.</w:t>
            </w:r>
            <w:r>
              <w:rPr/>
              <w:t xml:space="preserve"> - ECT Wind River, L.L.C. holds a 35% membership interest in Lost Creek Gas Gathering, L.L.C. (“Lost Creek”).  Lost Creek owns a 123 mile, 24-inch gas gathering header in the Wind River Basin in Wyoming which is scheduled to be in service by September 30, 2000.</w:t>
            </w:r>
          </w:p>
          <w:p>
            <w:pPr>
              <w:pStyle w:val="BodyText"/>
              <w:ind w:firstLine="360" w:start="612" w:end="0"/>
              <w:rPr/>
            </w:pPr>
            <w:r>
              <w:rPr/>
            </w:r>
          </w:p>
          <w:p>
            <w:pPr>
              <w:pStyle w:val="BodyText"/>
              <w:ind w:firstLine="360" w:start="612" w:end="0"/>
              <w:rPr/>
            </w:pPr>
            <w:r>
              <w:rPr/>
              <w:t xml:space="preserve">2.  </w:t>
            </w:r>
            <w:r>
              <w:rPr>
                <w:i/>
              </w:rPr>
              <w:t>ECT Powder River, L.L.C.</w:t>
            </w:r>
            <w:r>
              <w:rPr/>
              <w:t xml:space="preserve"> - ECT Powder River, L.L.C. holds a 33.33% membership interest in Fort Union Gas Gathering, L.L.C. (“Fort Union”).  Fort Union owns a 106 mile, 24-inch gas gathering header in the Powder River Basin in Wyoming which was placed into service on August 31, 1999.</w:t>
            </w:r>
          </w:p>
          <w:p>
            <w:pPr>
              <w:pStyle w:val="BodyText"/>
              <w:ind w:firstLine="360" w:start="612" w:end="0"/>
              <w:rPr/>
            </w:pPr>
            <w:r>
              <w:rPr/>
            </w:r>
          </w:p>
          <w:p>
            <w:pPr>
              <w:pStyle w:val="Normal"/>
              <w:ind w:firstLine="360" w:start="612" w:end="0"/>
              <w:jc w:val="both"/>
              <w:rPr/>
            </w:pPr>
            <w:r>
              <w:rPr>
                <w:sz w:val="24"/>
              </w:rPr>
              <w:t xml:space="preserve">3.  </w:t>
            </w:r>
            <w:r>
              <w:rPr>
                <w:i/>
                <w:sz w:val="24"/>
              </w:rPr>
              <w:t xml:space="preserve">Enron Midstream Services, L.L.C. </w:t>
            </w:r>
            <w:r>
              <w:rPr>
                <w:sz w:val="24"/>
              </w:rPr>
              <w:t>- Enron Midstream Services, L.L.C. (“EMS”) provides gas gathering services to producers on multiple lateral gas gathering lines that it owns, or has contracted for, and that are connected to the Fort Union pipeline.  Additionally, EMS holds ten percent (10%) of the common membership interests and twenty percent (20%) of the Preferred A Units in Bighorn Gas Gathering, L.L.C. (“Bighorn”).  Bighorn owns a gas gathering system in Campbell and Sheridan Counties, Wyoming.</w:t>
            </w:r>
          </w:p>
          <w:p>
            <w:pPr>
              <w:pStyle w:val="Normal"/>
              <w:jc w:val="both"/>
              <w:rPr>
                <w:sz w:val="24"/>
              </w:rPr>
            </w:pPr>
            <w:r>
              <w:rPr>
                <w:sz w:val="24"/>
              </w:rPr>
            </w:r>
          </w:p>
        </w:tc>
      </w:tr>
      <w:tr>
        <w:trPr/>
        <w:tc>
          <w:tcPr>
            <w:tcW w:w="2268" w:type="dxa"/>
            <w:tcBorders/>
          </w:tcPr>
          <w:p>
            <w:pPr>
              <w:pStyle w:val="Normal"/>
              <w:rPr>
                <w:b/>
                <w:sz w:val="24"/>
              </w:rPr>
            </w:pPr>
            <w:r>
              <w:rPr>
                <w:b/>
                <w:sz w:val="24"/>
              </w:rPr>
              <w:t>Purchase Price:</w:t>
            </w:r>
          </w:p>
        </w:tc>
        <w:tc>
          <w:tcPr>
            <w:tcW w:w="7308" w:type="dxa"/>
            <w:tcBorders/>
          </w:tcPr>
          <w:p>
            <w:pPr>
              <w:pStyle w:val="BodyText"/>
              <w:rPr/>
            </w:pPr>
            <w:r>
              <w:rPr/>
              <w:t xml:space="preserve">The purchase price for the Transferred Membership Interests will be $205,000,000.  $ ________ of the purchase price shall be paid under a promissory note executed by Buyer at the closing that includes the terms shown in </w:t>
            </w:r>
            <w:r>
              <w:rPr>
                <w:i/>
              </w:rPr>
              <w:t xml:space="preserve">Attachment 2 </w:t>
            </w:r>
            <w:r>
              <w:rPr/>
              <w:t>(the “Note”) with the balance of the purchase price paid in immediately available funds at the closing.  The purchase price shall be adjusted as provided in the Purchase Agreement, including an upward adjustment for all costs and expenses paid by Seller that relate to the period after the Effective Date, including capital expenditures, employee expenses, and general and administrative expenses (excluding Enron Corp. internal allocations) and a downward adjustment for all revenues received by Seller that relate to the period after the Effective Date.</w:t>
            </w:r>
          </w:p>
          <w:p>
            <w:pPr>
              <w:pStyle w:val="Normal"/>
              <w:jc w:val="both"/>
              <w:rPr>
                <w:sz w:val="24"/>
              </w:rPr>
            </w:pPr>
            <w:r>
              <w:rPr>
                <w:sz w:val="24"/>
              </w:rPr>
            </w:r>
          </w:p>
        </w:tc>
      </w:tr>
      <w:tr>
        <w:trPr/>
        <w:tc>
          <w:tcPr>
            <w:tcW w:w="2268" w:type="dxa"/>
            <w:tcBorders/>
          </w:tcPr>
          <w:p>
            <w:pPr>
              <w:pStyle w:val="Normal"/>
              <w:rPr>
                <w:b/>
                <w:sz w:val="24"/>
              </w:rPr>
            </w:pPr>
            <w:r>
              <w:rPr>
                <w:b/>
                <w:sz w:val="24"/>
              </w:rPr>
              <w:t>Effective Date and</w:t>
            </w:r>
          </w:p>
          <w:p>
            <w:pPr>
              <w:pStyle w:val="Normal"/>
              <w:jc w:val="both"/>
              <w:rPr>
                <w:b/>
                <w:sz w:val="24"/>
              </w:rPr>
            </w:pPr>
            <w:r>
              <w:rPr>
                <w:b/>
                <w:sz w:val="24"/>
              </w:rPr>
              <w:t>Closing Date:</w:t>
            </w:r>
          </w:p>
        </w:tc>
        <w:tc>
          <w:tcPr>
            <w:tcW w:w="7308" w:type="dxa"/>
            <w:tcBorders/>
          </w:tcPr>
          <w:p>
            <w:pPr>
              <w:pStyle w:val="Normal"/>
              <w:jc w:val="both"/>
              <w:rPr>
                <w:sz w:val="24"/>
              </w:rPr>
            </w:pPr>
            <w:r>
              <w:rPr>
                <w:sz w:val="24"/>
              </w:rPr>
              <w:t>The effective date of the transaction will be July 1, 2000 (the “Effective Date”).  Buyer and Seller will use their reasonable efforts to cause the closing of the Transaction to occur on or before August 31, 2000 (the “Closing Date”).</w:t>
            </w:r>
          </w:p>
          <w:p>
            <w:pPr>
              <w:pStyle w:val="Normal"/>
              <w:jc w:val="both"/>
              <w:rPr>
                <w:sz w:val="24"/>
              </w:rPr>
            </w:pPr>
            <w:r>
              <w:rPr>
                <w:sz w:val="24"/>
              </w:rPr>
            </w:r>
          </w:p>
        </w:tc>
      </w:tr>
      <w:tr>
        <w:trPr/>
        <w:tc>
          <w:tcPr>
            <w:tcW w:w="2268" w:type="dxa"/>
            <w:tcBorders/>
          </w:tcPr>
          <w:p>
            <w:pPr>
              <w:pStyle w:val="Normal"/>
              <w:rPr>
                <w:b/>
                <w:sz w:val="24"/>
              </w:rPr>
            </w:pPr>
            <w:r>
              <w:rPr>
                <w:b/>
                <w:sz w:val="24"/>
              </w:rPr>
              <w:t>Representations of</w:t>
            </w:r>
          </w:p>
          <w:p>
            <w:pPr>
              <w:pStyle w:val="Normal"/>
              <w:rPr>
                <w:b/>
                <w:sz w:val="24"/>
              </w:rPr>
            </w:pPr>
            <w:r>
              <w:rPr>
                <w:b/>
                <w:sz w:val="24"/>
              </w:rPr>
              <w:t>Seller and Buyer:</w:t>
            </w:r>
          </w:p>
        </w:tc>
        <w:tc>
          <w:tcPr>
            <w:tcW w:w="7308" w:type="dxa"/>
            <w:tcBorders/>
          </w:tcPr>
          <w:p>
            <w:pPr>
              <w:pStyle w:val="Normal"/>
              <w:spacing w:before="0" w:after="240"/>
              <w:jc w:val="both"/>
              <w:rPr>
                <w:sz w:val="24"/>
              </w:rPr>
            </w:pPr>
            <w:r>
              <w:rPr>
                <w:sz w:val="24"/>
              </w:rPr>
              <w:t>Each Party will make mutually agreeable representations and warranties in the Purchase Agreement.  Such representations and warranties will be subject to the disclaimers and limitations described below and will include, but not be limited to, representations regarding:</w:t>
            </w:r>
          </w:p>
          <w:p>
            <w:pPr>
              <w:pStyle w:val="Normal"/>
              <w:numPr>
                <w:ilvl w:val="0"/>
                <w:numId w:val="3"/>
              </w:numPr>
              <w:spacing w:before="0" w:after="240"/>
              <w:ind w:hanging="720" w:start="1339" w:end="0"/>
              <w:jc w:val="both"/>
              <w:rPr>
                <w:sz w:val="24"/>
              </w:rPr>
            </w:pPr>
            <w:r>
              <w:rPr>
                <w:sz w:val="24"/>
              </w:rPr>
              <w:t xml:space="preserve">Organization and Good Standing; </w:t>
            </w:r>
          </w:p>
          <w:p>
            <w:pPr>
              <w:pStyle w:val="Normal"/>
              <w:numPr>
                <w:ilvl w:val="0"/>
                <w:numId w:val="3"/>
              </w:numPr>
              <w:spacing w:before="0" w:after="240"/>
              <w:ind w:hanging="720" w:start="1339" w:end="0"/>
              <w:jc w:val="both"/>
              <w:rPr>
                <w:sz w:val="24"/>
              </w:rPr>
            </w:pPr>
            <w:r>
              <w:rPr>
                <w:sz w:val="24"/>
              </w:rPr>
              <w:t xml:space="preserve">Qualification; </w:t>
            </w:r>
          </w:p>
          <w:p>
            <w:pPr>
              <w:pStyle w:val="Normal"/>
              <w:numPr>
                <w:ilvl w:val="0"/>
                <w:numId w:val="3"/>
              </w:numPr>
              <w:spacing w:before="0" w:after="240"/>
              <w:ind w:hanging="720" w:start="1339" w:end="0"/>
              <w:jc w:val="both"/>
              <w:rPr>
                <w:sz w:val="24"/>
              </w:rPr>
            </w:pPr>
            <w:r>
              <w:rPr>
                <w:sz w:val="24"/>
              </w:rPr>
              <w:t>Authorization;</w:t>
            </w:r>
          </w:p>
          <w:p>
            <w:pPr>
              <w:pStyle w:val="Normal"/>
              <w:numPr>
                <w:ilvl w:val="0"/>
                <w:numId w:val="3"/>
              </w:numPr>
              <w:spacing w:before="0" w:after="240"/>
              <w:ind w:hanging="720" w:start="1339" w:end="0"/>
              <w:jc w:val="both"/>
              <w:rPr>
                <w:sz w:val="24"/>
              </w:rPr>
            </w:pPr>
            <w:r>
              <w:rPr>
                <w:sz w:val="24"/>
              </w:rPr>
              <w:t>Enforceability;</w:t>
            </w:r>
          </w:p>
          <w:p>
            <w:pPr>
              <w:pStyle w:val="Normal"/>
              <w:numPr>
                <w:ilvl w:val="0"/>
                <w:numId w:val="3"/>
              </w:numPr>
              <w:spacing w:before="0" w:after="240"/>
              <w:ind w:hanging="720" w:start="1339" w:end="0"/>
              <w:jc w:val="both"/>
              <w:rPr>
                <w:sz w:val="24"/>
              </w:rPr>
            </w:pPr>
            <w:r>
              <w:rPr>
                <w:sz w:val="24"/>
              </w:rPr>
              <w:t>Litigation;</w:t>
            </w:r>
          </w:p>
          <w:p>
            <w:pPr>
              <w:pStyle w:val="Normal"/>
              <w:numPr>
                <w:ilvl w:val="0"/>
                <w:numId w:val="3"/>
              </w:numPr>
              <w:spacing w:before="0" w:after="240"/>
              <w:ind w:hanging="720" w:start="1339" w:end="0"/>
              <w:jc w:val="both"/>
              <w:rPr>
                <w:sz w:val="24"/>
              </w:rPr>
            </w:pPr>
            <w:r>
              <w:rPr>
                <w:sz w:val="24"/>
              </w:rPr>
              <w:t>Consents; and</w:t>
            </w:r>
          </w:p>
          <w:p>
            <w:pPr>
              <w:pStyle w:val="Normal"/>
              <w:numPr>
                <w:ilvl w:val="0"/>
                <w:numId w:val="3"/>
              </w:numPr>
              <w:spacing w:before="0" w:after="240"/>
              <w:ind w:hanging="720" w:start="1339" w:end="0"/>
              <w:jc w:val="both"/>
              <w:rPr>
                <w:sz w:val="24"/>
              </w:rPr>
            </w:pPr>
            <w:r>
              <w:rPr>
                <w:sz w:val="24"/>
              </w:rPr>
              <w:t>Compliance with Laws.</w:t>
            </w:r>
          </w:p>
          <w:p>
            <w:pPr>
              <w:pStyle w:val="Normal"/>
              <w:jc w:val="both"/>
              <w:rPr>
                <w:sz w:val="24"/>
              </w:rPr>
            </w:pPr>
            <w:r>
              <w:rPr>
                <w:sz w:val="24"/>
              </w:rPr>
              <w:t>Materiality and knowledge standards will qualify the representations and warranties made by Seller and Buyer, where appropriate.</w:t>
            </w:r>
          </w:p>
          <w:p>
            <w:pPr>
              <w:pStyle w:val="Normal"/>
              <w:jc w:val="both"/>
              <w:rPr>
                <w:sz w:val="24"/>
              </w:rPr>
            </w:pPr>
            <w:r>
              <w:rPr>
                <w:sz w:val="24"/>
              </w:rPr>
            </w:r>
          </w:p>
        </w:tc>
      </w:tr>
      <w:tr>
        <w:trPr/>
        <w:tc>
          <w:tcPr>
            <w:tcW w:w="2268" w:type="dxa"/>
            <w:tcBorders/>
          </w:tcPr>
          <w:p>
            <w:pPr>
              <w:pStyle w:val="Normal"/>
              <w:rPr>
                <w:b/>
                <w:sz w:val="24"/>
              </w:rPr>
            </w:pPr>
            <w:r>
              <w:rPr>
                <w:b/>
                <w:sz w:val="24"/>
              </w:rPr>
              <w:t>Expansion Vote:</w:t>
            </w:r>
          </w:p>
        </w:tc>
        <w:tc>
          <w:tcPr>
            <w:tcW w:w="7308" w:type="dxa"/>
            <w:tcBorders/>
          </w:tcPr>
          <w:p>
            <w:pPr>
              <w:pStyle w:val="Normal"/>
              <w:jc w:val="both"/>
              <w:rPr>
                <w:sz w:val="24"/>
              </w:rPr>
            </w:pPr>
            <w:r>
              <w:rPr>
                <w:sz w:val="24"/>
              </w:rPr>
              <w:t>Seller shall cause ECT Powder River, L.L.C. to vote in favor of the expansion of the existing gathering system of Fort Union.</w:t>
            </w:r>
          </w:p>
          <w:p>
            <w:pPr>
              <w:pStyle w:val="Normal"/>
              <w:jc w:val="both"/>
              <w:rPr>
                <w:sz w:val="24"/>
              </w:rPr>
            </w:pPr>
            <w:r>
              <w:rPr>
                <w:sz w:val="24"/>
              </w:rPr>
            </w:r>
          </w:p>
        </w:tc>
      </w:tr>
      <w:tr>
        <w:trPr/>
        <w:tc>
          <w:tcPr>
            <w:tcW w:w="2268" w:type="dxa"/>
            <w:tcBorders/>
          </w:tcPr>
          <w:p>
            <w:pPr>
              <w:pStyle w:val="Normal"/>
              <w:rPr>
                <w:b/>
                <w:sz w:val="24"/>
              </w:rPr>
            </w:pPr>
            <w:r>
              <w:rPr>
                <w:b/>
                <w:sz w:val="24"/>
              </w:rPr>
              <w:t>Access and Due</w:t>
            </w:r>
          </w:p>
          <w:p>
            <w:pPr>
              <w:pStyle w:val="Normal"/>
              <w:jc w:val="both"/>
              <w:rPr>
                <w:b/>
                <w:sz w:val="24"/>
              </w:rPr>
            </w:pPr>
            <w:r>
              <w:rPr>
                <w:b/>
                <w:sz w:val="24"/>
              </w:rPr>
              <w:t>Diligence:</w:t>
            </w:r>
          </w:p>
        </w:tc>
        <w:tc>
          <w:tcPr>
            <w:tcW w:w="7308" w:type="dxa"/>
            <w:tcBorders/>
          </w:tcPr>
          <w:p>
            <w:pPr>
              <w:pStyle w:val="Normal"/>
              <w:jc w:val="both"/>
              <w:rPr>
                <w:sz w:val="24"/>
              </w:rPr>
            </w:pPr>
            <w:r>
              <w:rPr>
                <w:sz w:val="24"/>
              </w:rPr>
              <w:t>Seller shall permit Buyer and its representatives access (at mutually agreeable times and locations) to review and audit the books and records of the Seller regarding the Transferred Entities until the Closing Date.  Additionally, to the extent the books and records of the Transferred Entities do not contain information regarding Fort Union or Lost Creek that Buyer desires to review, Seller shall use its reasonable efforts to cause Fort Union and Lost Creek to make such information available to Buyer and its representatives.</w:t>
            </w:r>
          </w:p>
          <w:p>
            <w:pPr>
              <w:pStyle w:val="Normal"/>
              <w:jc w:val="both"/>
              <w:rPr>
                <w:sz w:val="24"/>
              </w:rPr>
            </w:pPr>
            <w:r>
              <w:rPr>
                <w:sz w:val="24"/>
              </w:rPr>
            </w:r>
          </w:p>
        </w:tc>
      </w:tr>
      <w:tr>
        <w:trPr/>
        <w:tc>
          <w:tcPr>
            <w:tcW w:w="2268" w:type="dxa"/>
            <w:tcBorders/>
          </w:tcPr>
          <w:p>
            <w:pPr>
              <w:pStyle w:val="Normal"/>
              <w:rPr>
                <w:b/>
                <w:sz w:val="24"/>
              </w:rPr>
            </w:pPr>
            <w:r>
              <w:rPr>
                <w:b/>
                <w:sz w:val="24"/>
              </w:rPr>
              <w:t>Assumption of Certain Obligations:</w:t>
            </w:r>
          </w:p>
        </w:tc>
        <w:tc>
          <w:tcPr>
            <w:tcW w:w="7308" w:type="dxa"/>
            <w:tcBorders/>
          </w:tcPr>
          <w:p>
            <w:pPr>
              <w:pStyle w:val="Normal"/>
              <w:ind w:hanging="18" w:end="0"/>
              <w:jc w:val="both"/>
              <w:rPr/>
            </w:pPr>
            <w:r>
              <w:rPr>
                <w:sz w:val="24"/>
              </w:rPr>
              <w:t>The Purchase Agreement will provide that Buyer shall take assignment of, and shall assume Seller’s obligations under, (i)</w:t>
            </w:r>
            <w:r>
              <w:rPr/>
              <w:t> </w:t>
            </w:r>
            <w:r>
              <w:rPr>
                <w:sz w:val="24"/>
              </w:rPr>
              <w:t xml:space="preserve">the Firm Gathering Agreement between Seller and Lost Creek, dated December 17, 1998, as amended, and the Firm Gathering Agreement between Seller and Fort Union, dated December 17, 1998, as amended (collectively, the “Firm Gathering Agreements”) and (ii) the Participation Agreement and Rebate Agreement between Seller and North Central Oil Corporation, dated May 1, 2000, and the Agreement Regarding North Central Oil Corporation between Seller and Burlington Resources Trading, Inc., dated April 13, 2000 (collectively, the “NCO Agreements”).  Prior to the Closing Date, the Parties shall use all reasonable efforts to obtain (x) the consent of the counterparties to the Firm Gathering Agreements and the NCO Agreements to the assignment of such agreements to Buyer and (y) the release of Seller of its obligations under such agreements.  </w:t>
            </w:r>
          </w:p>
          <w:p>
            <w:pPr>
              <w:pStyle w:val="Normal"/>
              <w:jc w:val="both"/>
              <w:rPr>
                <w:sz w:val="24"/>
              </w:rPr>
            </w:pPr>
            <w:r>
              <w:rPr>
                <w:sz w:val="24"/>
              </w:rPr>
            </w:r>
          </w:p>
        </w:tc>
      </w:tr>
      <w:tr>
        <w:trPr/>
        <w:tc>
          <w:tcPr>
            <w:tcW w:w="2268" w:type="dxa"/>
            <w:tcBorders/>
          </w:tcPr>
          <w:p>
            <w:pPr>
              <w:pStyle w:val="Normal"/>
              <w:rPr>
                <w:b/>
                <w:sz w:val="24"/>
              </w:rPr>
            </w:pPr>
            <w:r>
              <w:rPr>
                <w:b/>
                <w:sz w:val="24"/>
              </w:rPr>
              <w:t>Buyer’s Closing</w:t>
            </w:r>
          </w:p>
          <w:p>
            <w:pPr>
              <w:pStyle w:val="Normal"/>
              <w:jc w:val="both"/>
              <w:rPr>
                <w:b/>
                <w:sz w:val="24"/>
              </w:rPr>
            </w:pPr>
            <w:r>
              <w:rPr>
                <w:b/>
                <w:sz w:val="24"/>
              </w:rPr>
              <w:t>Conditions:</w:t>
            </w:r>
          </w:p>
        </w:tc>
        <w:tc>
          <w:tcPr>
            <w:tcW w:w="7308" w:type="dxa"/>
            <w:tcBorders/>
          </w:tcPr>
          <w:p>
            <w:pPr>
              <w:pStyle w:val="BodyText"/>
              <w:spacing w:before="0" w:after="240"/>
              <w:rPr/>
            </w:pPr>
            <w:r>
              <w:rPr/>
              <w:t>Buyer’s obligation to purchase the Transferred Membership Interests will be subject to the satisfaction of the following conditions on or prior to the Closing Date:</w:t>
            </w:r>
          </w:p>
          <w:p>
            <w:pPr>
              <w:pStyle w:val="Normal"/>
              <w:numPr>
                <w:ilvl w:val="0"/>
                <w:numId w:val="4"/>
              </w:numPr>
              <w:spacing w:before="0" w:after="240"/>
              <w:ind w:hanging="720" w:start="1339" w:end="0"/>
              <w:jc w:val="both"/>
              <w:rPr>
                <w:sz w:val="24"/>
              </w:rPr>
            </w:pPr>
            <w:r>
              <w:rPr>
                <w:sz w:val="24"/>
              </w:rPr>
              <w:t>the Purchase Agreement has been properly executed and delivered by Seller and the representations and warranties of Seller therein are in all material respects true and correct as of the Closing Date and all covenants of Seller to be performed before the Closing have been fully performed in all material respects;</w:t>
            </w:r>
          </w:p>
          <w:p>
            <w:pPr>
              <w:pStyle w:val="Normal"/>
              <w:numPr>
                <w:ilvl w:val="0"/>
                <w:numId w:val="4"/>
              </w:numPr>
              <w:spacing w:before="0" w:after="240"/>
              <w:ind w:hanging="720" w:start="1339" w:end="0"/>
              <w:jc w:val="both"/>
              <w:rPr>
                <w:sz w:val="24"/>
              </w:rPr>
            </w:pPr>
            <w:r>
              <w:rPr>
                <w:sz w:val="24"/>
              </w:rPr>
              <w:t>the EMS Gathering Agreement and all other closing documents have been properly executed and delivered by Seller (or its affiliates);</w:t>
            </w:r>
          </w:p>
          <w:p>
            <w:pPr>
              <w:pStyle w:val="Normal"/>
              <w:numPr>
                <w:ilvl w:val="0"/>
                <w:numId w:val="4"/>
              </w:numPr>
              <w:spacing w:before="0" w:after="240"/>
              <w:ind w:hanging="720" w:start="1339" w:end="0"/>
              <w:jc w:val="both"/>
              <w:rPr>
                <w:sz w:val="24"/>
              </w:rPr>
            </w:pPr>
            <w:r>
              <w:rPr>
                <w:sz w:val="24"/>
              </w:rPr>
              <w:t xml:space="preserve">all consents required to transfer the Transferred Membership Interests to Buyer have been obtained by Seller or waived; </w:t>
            </w:r>
          </w:p>
          <w:p>
            <w:pPr>
              <w:pStyle w:val="Normal"/>
              <w:numPr>
                <w:ilvl w:val="0"/>
                <w:numId w:val="4"/>
              </w:numPr>
              <w:spacing w:before="0" w:after="240"/>
              <w:ind w:hanging="720" w:start="1339" w:end="0"/>
              <w:jc w:val="both"/>
              <w:rPr>
                <w:sz w:val="24"/>
              </w:rPr>
            </w:pPr>
            <w:r>
              <w:rPr>
                <w:sz w:val="24"/>
              </w:rPr>
              <w:t xml:space="preserve">no action, suit, or proceeding is pending or threatened before any governmental body seeking to restrain or delay the closing; </w:t>
            </w:r>
          </w:p>
          <w:p>
            <w:pPr>
              <w:pStyle w:val="Normal"/>
              <w:numPr>
                <w:ilvl w:val="0"/>
                <w:numId w:val="4"/>
              </w:numPr>
              <w:spacing w:before="0" w:after="240"/>
              <w:ind w:hanging="720" w:start="1339" w:end="0"/>
              <w:jc w:val="both"/>
              <w:rPr>
                <w:sz w:val="24"/>
              </w:rPr>
            </w:pPr>
            <w:r>
              <w:rPr>
                <w:sz w:val="24"/>
              </w:rPr>
              <w:t xml:space="preserve">Seller shall have caused Lost Creek and Fort Union to each make an election under Section 754 of the Internal Revenue Code [These elections appear to have been made.  Please confirm.]; </w:t>
            </w:r>
          </w:p>
          <w:p>
            <w:pPr>
              <w:pStyle w:val="Normal"/>
              <w:numPr>
                <w:ilvl w:val="0"/>
                <w:numId w:val="4"/>
              </w:numPr>
              <w:spacing w:before="0" w:after="240"/>
              <w:ind w:hanging="720" w:start="1339" w:end="0"/>
              <w:jc w:val="both"/>
              <w:rPr>
                <w:sz w:val="24"/>
              </w:rPr>
            </w:pPr>
            <w:r>
              <w:rPr>
                <w:sz w:val="24"/>
              </w:rPr>
              <w:t xml:space="preserve">Seller shall have caused ECT Powder River, L.L.C. to vote in favor of the expansion of the existing gathering system of Fort Union; </w:t>
            </w:r>
          </w:p>
          <w:p>
            <w:pPr>
              <w:pStyle w:val="Normal"/>
              <w:numPr>
                <w:ilvl w:val="0"/>
                <w:numId w:val="4"/>
              </w:numPr>
              <w:spacing w:before="0" w:after="240"/>
              <w:ind w:hanging="720" w:start="1339" w:end="0"/>
              <w:jc w:val="both"/>
              <w:rPr>
                <w:sz w:val="24"/>
              </w:rPr>
            </w:pPr>
            <w:r>
              <w:rPr>
                <w:sz w:val="24"/>
              </w:rPr>
              <w:t>Buyer shall have completed its due diligence review of the Transferred Entities and the results of that review shall be reasonably satisfactory to Buyer; and</w:t>
            </w:r>
          </w:p>
          <w:p>
            <w:pPr>
              <w:pStyle w:val="Normal"/>
              <w:numPr>
                <w:ilvl w:val="0"/>
                <w:numId w:val="4"/>
              </w:numPr>
              <w:ind w:hanging="720" w:start="1339" w:end="0"/>
              <w:jc w:val="both"/>
              <w:rPr>
                <w:sz w:val="24"/>
              </w:rPr>
            </w:pPr>
            <w:r>
              <w:rPr>
                <w:sz w:val="24"/>
              </w:rPr>
              <w:t>Buyer shall have received a fairness opinion from the audit committee of Buyer to the effect that, as of the date of such opinion, the transactions contemplated by the Purchase Agreement are fair, from a financial point of view, to Buyer.</w:t>
            </w:r>
          </w:p>
          <w:p>
            <w:pPr>
              <w:pStyle w:val="Normal"/>
              <w:jc w:val="both"/>
              <w:rPr>
                <w:sz w:val="24"/>
              </w:rPr>
            </w:pPr>
            <w:r>
              <w:rPr>
                <w:sz w:val="24"/>
              </w:rPr>
            </w:r>
          </w:p>
        </w:tc>
      </w:tr>
      <w:tr>
        <w:trPr/>
        <w:tc>
          <w:tcPr>
            <w:tcW w:w="2268" w:type="dxa"/>
            <w:tcBorders/>
          </w:tcPr>
          <w:p>
            <w:pPr>
              <w:pStyle w:val="Normal"/>
              <w:rPr>
                <w:b/>
                <w:sz w:val="24"/>
              </w:rPr>
            </w:pPr>
            <w:r>
              <w:rPr>
                <w:b/>
                <w:sz w:val="24"/>
              </w:rPr>
              <w:t>Seller’s Closing</w:t>
            </w:r>
          </w:p>
          <w:p>
            <w:pPr>
              <w:pStyle w:val="Normal"/>
              <w:jc w:val="both"/>
              <w:rPr>
                <w:b/>
                <w:sz w:val="24"/>
              </w:rPr>
            </w:pPr>
            <w:r>
              <w:rPr>
                <w:b/>
                <w:sz w:val="24"/>
              </w:rPr>
              <w:t>Conditions:</w:t>
            </w:r>
          </w:p>
        </w:tc>
        <w:tc>
          <w:tcPr>
            <w:tcW w:w="7308" w:type="dxa"/>
            <w:tcBorders/>
          </w:tcPr>
          <w:p>
            <w:pPr>
              <w:pStyle w:val="BodyText"/>
              <w:spacing w:before="0" w:after="240"/>
              <w:rPr/>
            </w:pPr>
            <w:r>
              <w:rPr/>
              <w:t>Seller’s obligation to sell the Transferred Membership Interests will be subject to the satisfaction of the following conditions on or prior to the Closing Date:</w:t>
            </w:r>
          </w:p>
          <w:p>
            <w:pPr>
              <w:pStyle w:val="Normal"/>
              <w:numPr>
                <w:ilvl w:val="0"/>
                <w:numId w:val="2"/>
              </w:numPr>
              <w:spacing w:before="0" w:after="240"/>
              <w:ind w:hanging="720" w:start="1339" w:end="0"/>
              <w:jc w:val="both"/>
              <w:rPr>
                <w:sz w:val="24"/>
              </w:rPr>
            </w:pPr>
            <w:r>
              <w:rPr>
                <w:sz w:val="24"/>
              </w:rPr>
              <w:t>the Purchase Agreement has been properly executed and delivered by Buyer and the representations and warranties of Buyer therein are in all material respects true and correct as of the Closing Date and all covenants of Buyer to be performed before the Closing have been fully performed in all material respects;</w:t>
            </w:r>
          </w:p>
          <w:p>
            <w:pPr>
              <w:pStyle w:val="Normal"/>
              <w:numPr>
                <w:ilvl w:val="0"/>
                <w:numId w:val="2"/>
              </w:numPr>
              <w:spacing w:before="0" w:after="240"/>
              <w:ind w:hanging="720" w:start="1339" w:end="0"/>
              <w:jc w:val="both"/>
              <w:rPr>
                <w:sz w:val="24"/>
              </w:rPr>
            </w:pPr>
            <w:r>
              <w:rPr>
                <w:sz w:val="24"/>
              </w:rPr>
              <w:t>the Management Agreement and the EMS Gathering Agreement and all other closing documents have been properly executed and delivered by Buyer;</w:t>
            </w:r>
          </w:p>
          <w:p>
            <w:pPr>
              <w:pStyle w:val="Normal"/>
              <w:numPr>
                <w:ilvl w:val="0"/>
                <w:numId w:val="2"/>
              </w:numPr>
              <w:spacing w:before="0" w:after="240"/>
              <w:ind w:hanging="720" w:start="1339" w:end="0"/>
              <w:jc w:val="both"/>
              <w:rPr>
                <w:sz w:val="24"/>
              </w:rPr>
            </w:pPr>
            <w:r>
              <w:rPr>
                <w:sz w:val="24"/>
              </w:rPr>
              <w:t xml:space="preserve">all consents required to transfer the Transferred Membership Interests to Buyer have been obtained by Seller or waived; </w:t>
            </w:r>
          </w:p>
          <w:p>
            <w:pPr>
              <w:pStyle w:val="Normal"/>
              <w:numPr>
                <w:ilvl w:val="0"/>
                <w:numId w:val="2"/>
              </w:numPr>
              <w:spacing w:before="0" w:after="240"/>
              <w:ind w:hanging="720" w:start="1339" w:end="0"/>
              <w:jc w:val="both"/>
              <w:rPr>
                <w:sz w:val="24"/>
              </w:rPr>
            </w:pPr>
            <w:r>
              <w:rPr>
                <w:sz w:val="24"/>
              </w:rPr>
              <w:t>no action, suit, or proceeding is pending or threatened before any governmental body seeking to restrain or delay the closing;</w:t>
            </w:r>
          </w:p>
          <w:p>
            <w:pPr>
              <w:pStyle w:val="Normal"/>
              <w:numPr>
                <w:ilvl w:val="0"/>
                <w:numId w:val="2"/>
              </w:numPr>
              <w:spacing w:before="0" w:after="240"/>
              <w:ind w:hanging="720" w:start="1339" w:end="0"/>
              <w:jc w:val="both"/>
              <w:rPr>
                <w:sz w:val="24"/>
              </w:rPr>
            </w:pPr>
            <w:r>
              <w:rPr>
                <w:sz w:val="24"/>
              </w:rPr>
              <w:t>the counterparties to the Firm Gathering Agreements and the NCO Agreements shall have released Seller from its obligations arising under such agreements from and after the Closing Date; and</w:t>
            </w:r>
          </w:p>
          <w:p>
            <w:pPr>
              <w:pStyle w:val="Normal"/>
              <w:numPr>
                <w:ilvl w:val="0"/>
                <w:numId w:val="2"/>
              </w:numPr>
              <w:ind w:hanging="720" w:start="1339" w:end="0"/>
              <w:jc w:val="both"/>
              <w:rPr>
                <w:sz w:val="24"/>
              </w:rPr>
            </w:pPr>
            <w:r>
              <w:rPr>
                <w:sz w:val="24"/>
              </w:rPr>
              <w:t>Buyer shall have provided satisfactory substitute credit support for any credit support now provided by Seller or any of its affiliates in respect of the Transferred Entities or the Firm Gathering Agreements.</w:t>
            </w:r>
          </w:p>
          <w:p>
            <w:pPr>
              <w:pStyle w:val="Normal"/>
              <w:jc w:val="both"/>
              <w:rPr>
                <w:sz w:val="24"/>
              </w:rPr>
            </w:pPr>
            <w:r>
              <w:rPr>
                <w:sz w:val="24"/>
              </w:rPr>
            </w:r>
          </w:p>
        </w:tc>
      </w:tr>
      <w:tr>
        <w:trPr/>
        <w:tc>
          <w:tcPr>
            <w:tcW w:w="2268" w:type="dxa"/>
            <w:tcBorders/>
          </w:tcPr>
          <w:p>
            <w:pPr>
              <w:pStyle w:val="Normal"/>
              <w:rPr>
                <w:b/>
                <w:sz w:val="24"/>
              </w:rPr>
            </w:pPr>
            <w:r>
              <w:rPr>
                <w:b/>
                <w:sz w:val="24"/>
              </w:rPr>
              <w:t>Closing:</w:t>
            </w:r>
          </w:p>
        </w:tc>
        <w:tc>
          <w:tcPr>
            <w:tcW w:w="7308" w:type="dxa"/>
            <w:tcBorders/>
          </w:tcPr>
          <w:p>
            <w:pPr>
              <w:pStyle w:val="Normal"/>
              <w:jc w:val="both"/>
              <w:rPr>
                <w:sz w:val="24"/>
              </w:rPr>
            </w:pPr>
            <w:r>
              <w:rPr>
                <w:sz w:val="24"/>
              </w:rPr>
              <w:t xml:space="preserve">The closing will take place in the offices of Seller in Houston, Texas on the Closing Date or at such other time and place as Seller and Buyer may agree to.  All proceeds, accounts receivable, and other monies with respect to Transferred Membership Interests that are attributable to periods prior to the Effective Date shall belong to and be paid over to Seller, and all proceeds, accounts receivable, and other monies with respect to the Transferred Membership Interests that are attributable to periods from and after the Effective Date shall belong to and be paid to Buyer. </w:t>
            </w:r>
          </w:p>
          <w:p>
            <w:pPr>
              <w:pStyle w:val="Normal"/>
              <w:jc w:val="both"/>
              <w:rPr>
                <w:sz w:val="24"/>
              </w:rPr>
            </w:pPr>
            <w:r>
              <w:rPr>
                <w:sz w:val="24"/>
              </w:rPr>
            </w:r>
          </w:p>
        </w:tc>
      </w:tr>
      <w:tr>
        <w:trPr/>
        <w:tc>
          <w:tcPr>
            <w:tcW w:w="2268" w:type="dxa"/>
            <w:tcBorders/>
          </w:tcPr>
          <w:p>
            <w:pPr>
              <w:pStyle w:val="Normal"/>
              <w:rPr>
                <w:b/>
                <w:sz w:val="24"/>
              </w:rPr>
            </w:pPr>
            <w:r>
              <w:rPr>
                <w:b/>
                <w:sz w:val="24"/>
              </w:rPr>
              <w:t>Employee Matters:</w:t>
            </w:r>
          </w:p>
        </w:tc>
        <w:tc>
          <w:tcPr>
            <w:tcW w:w="7308" w:type="dxa"/>
            <w:tcBorders/>
          </w:tcPr>
          <w:p>
            <w:pPr>
              <w:pStyle w:val="Normal"/>
              <w:spacing w:before="0" w:after="240"/>
              <w:jc w:val="both"/>
              <w:rPr/>
            </w:pPr>
            <w:r>
              <w:rPr>
                <w:i/>
                <w:sz w:val="24"/>
              </w:rPr>
              <w:t xml:space="preserve">Management Company.  </w:t>
            </w:r>
            <w:r>
              <w:rPr>
                <w:sz w:val="24"/>
              </w:rPr>
              <w:t xml:space="preserve">Buyer shall enter into a no profit or loss “Management Agreement” with the Management Company with an agreed upon budget reflecting the organization shown in the initial organization chart attached as </w:t>
            </w:r>
            <w:r>
              <w:rPr>
                <w:i/>
                <w:sz w:val="24"/>
              </w:rPr>
              <w:t>Attachment 3</w:t>
            </w:r>
            <w:r>
              <w:rPr>
                <w:sz w:val="24"/>
              </w:rPr>
              <w:t>, a term of five (5) years, and such other terms and conditions that the Management Company and Buyer may agree to.</w:t>
            </w:r>
          </w:p>
          <w:p>
            <w:pPr>
              <w:pStyle w:val="Normal"/>
              <w:spacing w:before="0" w:after="240"/>
              <w:jc w:val="both"/>
              <w:rPr/>
            </w:pPr>
            <w:r>
              <w:rPr>
                <w:i/>
                <w:sz w:val="24"/>
              </w:rPr>
              <w:t>Employment</w:t>
            </w:r>
            <w:r>
              <w:rPr>
                <w:sz w:val="24"/>
              </w:rPr>
              <w:t>.  The Management Company will make offers of employment to designated employees of Seller no later than 5:00 p.m. on the first business day after the execution of this letter of understanding, with such employees required to accept or reject such offers by 5:00 p.m. on the 4th business day after the execution of this letter of understanding.  The offer of employment by the Management Company will be at no less than 100% of the employee’s current base salary on the Closing Date (including the incentive structure described below), with a minimum bonus for calendar year 2000 identified for each such employee (such bonus to be paid and distributed by Seller under its typical bonus distribution procedures), with substantially equivalent responsibilities, headquartered in the Denver, Colorado office or such other location as specified in the offer of employment, and with an aggregate value of fringe benefits that are substantially equivalent to benefits maintained by Seller for such employees on the Closing Date.</w:t>
            </w:r>
          </w:p>
          <w:p>
            <w:pPr>
              <w:pStyle w:val="Normal"/>
              <w:spacing w:before="0" w:after="240"/>
              <w:jc w:val="both"/>
              <w:rPr/>
            </w:pPr>
            <w:r>
              <w:rPr>
                <w:i/>
                <w:sz w:val="24"/>
              </w:rPr>
              <w:t>Employee Benefit Plans</w:t>
            </w:r>
            <w:r>
              <w:rPr>
                <w:sz w:val="24"/>
              </w:rPr>
              <w:t>.  The Management Company shall procure or maintain for Seller’s employees who accept offers of employment (the “Transferred Employees”) the existing Enron Corp. employee benefit plans for such Transferred Employees that have no less than a substantially equivalent aggregate value of benefits and coverage as the benefit plans that are maintained by Seller as of the Closing Date for the Transferred Employees.</w:t>
            </w:r>
          </w:p>
          <w:p>
            <w:pPr>
              <w:pStyle w:val="Normal"/>
              <w:spacing w:before="0" w:after="240"/>
              <w:jc w:val="both"/>
              <w:rPr/>
            </w:pPr>
            <w:r>
              <w:rPr>
                <w:i/>
                <w:sz w:val="24"/>
              </w:rPr>
              <w:t>Organization Chart</w:t>
            </w:r>
            <w:r>
              <w:rPr>
                <w:sz w:val="24"/>
              </w:rPr>
              <w:t xml:space="preserve">.  The initial organization chart for the Management Company is attached as </w:t>
            </w:r>
            <w:r>
              <w:rPr>
                <w:i/>
                <w:sz w:val="24"/>
              </w:rPr>
              <w:t>Attachment 3</w:t>
            </w:r>
            <w:r>
              <w:rPr>
                <w:sz w:val="24"/>
              </w:rPr>
              <w:t xml:space="preserve">.  </w:t>
            </w:r>
          </w:p>
          <w:p>
            <w:pPr>
              <w:pStyle w:val="Normal"/>
              <w:jc w:val="both"/>
              <w:rPr/>
            </w:pPr>
            <w:r>
              <w:rPr>
                <w:i/>
                <w:sz w:val="24"/>
              </w:rPr>
              <w:t>Incentive Structure</w:t>
            </w:r>
            <w:r>
              <w:rPr>
                <w:sz w:val="24"/>
              </w:rPr>
              <w:t xml:space="preserve">.  The Management Company will implement an incentive compensation program, as part of the Management Agreement, to encourage the Transferred Employees to develop new business opportunities, develop Buyer’s existing assets, and contribute to the financial performance of Buyer. </w:t>
            </w:r>
          </w:p>
          <w:p>
            <w:pPr>
              <w:pStyle w:val="Normal"/>
              <w:spacing w:before="0" w:after="240"/>
              <w:jc w:val="both"/>
              <w:rPr>
                <w:sz w:val="24"/>
              </w:rPr>
            </w:pPr>
            <w:r>
              <w:rPr>
                <w:sz w:val="24"/>
              </w:rPr>
            </w:r>
          </w:p>
        </w:tc>
      </w:tr>
      <w:tr>
        <w:trPr/>
        <w:tc>
          <w:tcPr>
            <w:tcW w:w="2268" w:type="dxa"/>
            <w:tcBorders/>
          </w:tcPr>
          <w:p>
            <w:pPr>
              <w:pStyle w:val="Normal"/>
              <w:rPr>
                <w:b/>
                <w:sz w:val="24"/>
              </w:rPr>
            </w:pPr>
            <w:r>
              <w:rPr>
                <w:b/>
                <w:sz w:val="24"/>
              </w:rPr>
              <w:t>Indemnification:</w:t>
            </w:r>
          </w:p>
        </w:tc>
        <w:tc>
          <w:tcPr>
            <w:tcW w:w="7308" w:type="dxa"/>
            <w:tcBorders/>
          </w:tcPr>
          <w:p>
            <w:pPr>
              <w:pStyle w:val="Normal"/>
              <w:spacing w:before="0" w:after="240"/>
              <w:jc w:val="both"/>
              <w:rPr/>
            </w:pPr>
            <w:r>
              <w:rPr>
                <w:i/>
                <w:sz w:val="24"/>
              </w:rPr>
              <w:t>Seller Indemnity</w:t>
            </w:r>
            <w:r>
              <w:rPr>
                <w:sz w:val="24"/>
              </w:rPr>
              <w:t>.  Subject to the other terms of the Purchase Agreement, from and after the Closing Date, Seller will indemnify Buyer for any losses actually suffered by Buyer for any breach by Seller of any of its representations, warranties, and covenants in the Purchase Agreement.</w:t>
            </w:r>
          </w:p>
          <w:p>
            <w:pPr>
              <w:pStyle w:val="Normal"/>
              <w:spacing w:before="0" w:after="240"/>
              <w:jc w:val="both"/>
              <w:rPr/>
            </w:pPr>
            <w:r>
              <w:rPr>
                <w:i/>
                <w:sz w:val="24"/>
              </w:rPr>
              <w:t>Buyer Indemnity</w:t>
            </w:r>
            <w:r>
              <w:rPr>
                <w:sz w:val="24"/>
              </w:rPr>
              <w:t>.  Subject to the other terms of the Purchase Agreement, from and after the Closing Date, Buyer will assume and perform all obligations and liabilities related to the Transferred Membership Interests and the Transferred Entities (whether relating to periods of time before or after the Closing Date).  Buyer will indemnify Seller for any losses actually suffered by Seller (i) for any breach by Buyer of its representations, warranties, and covenants in the Purchase Agreement and (ii) for any matters related to the Transferred Membership Interests or the Transferred Entities (whether relating to periods of time before or after the Closing Date) to the extent that such losses are not properly asserted by Buyer under Seller’s indemnity above by the date specified below.</w:t>
            </w:r>
          </w:p>
          <w:p>
            <w:pPr>
              <w:pStyle w:val="Normal"/>
              <w:spacing w:before="0" w:after="240"/>
              <w:jc w:val="both"/>
              <w:rPr/>
            </w:pPr>
            <w:r>
              <w:rPr>
                <w:i/>
                <w:sz w:val="24"/>
              </w:rPr>
              <w:t>Limitation on Seller’s Liability</w:t>
            </w:r>
            <w:r>
              <w:rPr>
                <w:sz w:val="24"/>
              </w:rPr>
              <w:t>.  Buyer shall not be entitled to assert any right of indemnity under the Purchase Agreement until the actual amount of all losses actually suffered by Buyer exceeds 1% of the Purchase Price.  Seller’s liability for claims asserted under the indemnity above in respect of each Transferred Entity shall not exceed the amount of the purchase price allocated to that Transferred Entity.  Seller’s total aggregate liability to Buyer for indemnity above or otherwise in connection with the Transferred Membership Interests or the Transferred Entities or the transactions contemplated by the Purchase Agreement will not exceed the Purchase Price.</w:t>
            </w:r>
          </w:p>
          <w:p>
            <w:pPr>
              <w:pStyle w:val="Normal"/>
              <w:spacing w:before="0" w:after="240"/>
              <w:jc w:val="both"/>
              <w:rPr/>
            </w:pPr>
            <w:r>
              <w:rPr>
                <w:i/>
                <w:sz w:val="24"/>
              </w:rPr>
              <w:t>Time Limitation</w:t>
            </w:r>
            <w:r>
              <w:rPr>
                <w:sz w:val="24"/>
              </w:rPr>
              <w:t>.  The representations and warranties of Seller in the Purchase Agreement will survive the closing until the end of the 24th month after the Closing Date.  Any claim for indemnification by Buyer of Seller under the Purchase Agreement must be made by such date or not at all.</w:t>
            </w:r>
          </w:p>
          <w:p>
            <w:pPr>
              <w:pStyle w:val="Normal"/>
              <w:jc w:val="both"/>
              <w:rPr/>
            </w:pPr>
            <w:r>
              <w:rPr>
                <w:i/>
                <w:sz w:val="24"/>
              </w:rPr>
              <w:t>Disclaimers</w:t>
            </w:r>
            <w:r>
              <w:rPr>
                <w:sz w:val="24"/>
              </w:rPr>
              <w:t xml:space="preserve">.  The Purchase Agreement will provide that Seller will waive and disclaim all other representations regarding the Transferred Membership Interests and contain other waivers and disclaimers by Seller with respect to the Transferred Membership Interests and the Transferred Entities, including a waiver of consequential damages by both Parties. </w:t>
            </w:r>
          </w:p>
          <w:p>
            <w:pPr>
              <w:pStyle w:val="Normal"/>
              <w:jc w:val="both"/>
              <w:rPr>
                <w:sz w:val="24"/>
              </w:rPr>
            </w:pPr>
            <w:r>
              <w:rPr>
                <w:sz w:val="24"/>
              </w:rPr>
            </w:r>
          </w:p>
        </w:tc>
      </w:tr>
      <w:tr>
        <w:trPr/>
        <w:tc>
          <w:tcPr>
            <w:tcW w:w="2268" w:type="dxa"/>
            <w:tcBorders/>
          </w:tcPr>
          <w:p>
            <w:pPr>
              <w:pStyle w:val="Normal"/>
              <w:rPr>
                <w:b/>
                <w:sz w:val="24"/>
              </w:rPr>
            </w:pPr>
            <w:r>
              <w:rPr>
                <w:b/>
                <w:sz w:val="24"/>
              </w:rPr>
              <w:t>Buyer Credit Support:</w:t>
            </w:r>
          </w:p>
        </w:tc>
        <w:tc>
          <w:tcPr>
            <w:tcW w:w="7308" w:type="dxa"/>
            <w:tcBorders/>
          </w:tcPr>
          <w:p>
            <w:pPr>
              <w:pStyle w:val="Normal"/>
              <w:jc w:val="both"/>
              <w:rPr>
                <w:sz w:val="24"/>
              </w:rPr>
            </w:pPr>
            <w:r>
              <w:rPr>
                <w:sz w:val="24"/>
              </w:rPr>
              <w:t xml:space="preserve">On or before the Closing Date, Buyer shall provide satisfactory substitute credit support for all credit support obligations currently provided by Seller and certain of its affiliates related to (i) the Transferred Entities and the Transferred Membership Interests and (ii) the Firm Gathering Agreements. </w:t>
            </w:r>
          </w:p>
          <w:p>
            <w:pPr>
              <w:pStyle w:val="Normal"/>
              <w:jc w:val="both"/>
              <w:rPr>
                <w:sz w:val="24"/>
              </w:rPr>
            </w:pPr>
            <w:r>
              <w:rPr>
                <w:sz w:val="24"/>
              </w:rPr>
            </w:r>
          </w:p>
        </w:tc>
      </w:tr>
      <w:tr>
        <w:trPr/>
        <w:tc>
          <w:tcPr>
            <w:tcW w:w="2268" w:type="dxa"/>
            <w:tcBorders/>
          </w:tcPr>
          <w:p>
            <w:pPr>
              <w:pStyle w:val="Normal"/>
              <w:rPr>
                <w:b/>
                <w:sz w:val="24"/>
              </w:rPr>
            </w:pPr>
            <w:r>
              <w:rPr>
                <w:b/>
                <w:sz w:val="24"/>
              </w:rPr>
              <w:t>Participation Rights:</w:t>
            </w:r>
          </w:p>
        </w:tc>
        <w:tc>
          <w:tcPr>
            <w:tcW w:w="7308" w:type="dxa"/>
            <w:tcBorders/>
          </w:tcPr>
          <w:p>
            <w:pPr>
              <w:pStyle w:val="Normal"/>
              <w:jc w:val="both"/>
              <w:rPr/>
            </w:pPr>
            <w:r>
              <w:rPr>
                <w:i/>
                <w:sz w:val="24"/>
              </w:rPr>
              <w:t xml:space="preserve">Specified Geographical Area.  </w:t>
            </w:r>
            <w:r>
              <w:rPr>
                <w:sz w:val="24"/>
              </w:rPr>
              <w:t xml:space="preserve">The Purchase Agreement will include provisions granting Buyer and Seller certain participation rights in the Specified Geographical Area.  “Specified Geographical Area” means the geographical area described in </w:t>
            </w:r>
            <w:r>
              <w:rPr>
                <w:i/>
                <w:sz w:val="24"/>
              </w:rPr>
              <w:t>Attachment 4</w:t>
            </w:r>
            <w:r>
              <w:rPr>
                <w:sz w:val="24"/>
              </w:rPr>
              <w:t xml:space="preserve">. </w:t>
            </w:r>
          </w:p>
          <w:p>
            <w:pPr>
              <w:pStyle w:val="Normal"/>
              <w:jc w:val="both"/>
              <w:rPr>
                <w:sz w:val="24"/>
              </w:rPr>
            </w:pPr>
            <w:r>
              <w:rPr>
                <w:sz w:val="24"/>
              </w:rPr>
            </w:r>
          </w:p>
          <w:p>
            <w:pPr>
              <w:pStyle w:val="Normal"/>
              <w:jc w:val="both"/>
              <w:rPr/>
            </w:pPr>
            <w:r>
              <w:rPr>
                <w:i/>
                <w:sz w:val="24"/>
              </w:rPr>
              <w:t>Buyer’s Rights</w:t>
            </w:r>
            <w:r>
              <w:rPr>
                <w:sz w:val="24"/>
              </w:rPr>
              <w:t xml:space="preserve">.  If Seller or any of its wholly-owned subsidiaries  proposes to develop or acquire an interest in, directly or indirectly, a non federally regulated gas gathering system in the Specified Geographical Area (“Specified Project”), then Seller shall promptly give notice to Buyer of such proposed development or acquisition and Buyer shall have the preferential right to participate with Seller for 100% of the asset based equity portion of the Specified Project on terms mutually agreed to by Buyer and Seller in the Purchase Agreement. Any Specified Project developed by Seller’s producer finance department as part of a transaction that is primarily a producer finance transaction shall be excluded from this provision. </w:t>
            </w:r>
          </w:p>
          <w:p>
            <w:pPr>
              <w:pStyle w:val="Normal"/>
              <w:jc w:val="both"/>
              <w:rPr>
                <w:sz w:val="24"/>
              </w:rPr>
            </w:pPr>
            <w:r>
              <w:rPr>
                <w:sz w:val="24"/>
              </w:rPr>
            </w:r>
          </w:p>
          <w:p>
            <w:pPr>
              <w:pStyle w:val="Normal"/>
              <w:jc w:val="both"/>
              <w:rPr/>
            </w:pPr>
            <w:r>
              <w:rPr>
                <w:i/>
                <w:sz w:val="24"/>
              </w:rPr>
              <w:t>Seller’s Rights</w:t>
            </w:r>
            <w:r>
              <w:rPr>
                <w:sz w:val="24"/>
              </w:rPr>
              <w:t>.  If Buyer or Northern Border Partners, L.P. or any of its subsidiaries proposes to develop or participate in, directly or indirectly, a Specified Project, then Buyer shall promptly give notice to Seller of such proposed transaction and Seller (or its designee) shall have the preferential right to participate for 100% of the gas or other energy linked commodity transactions and producer outsourcing opportunities related to the Specified Project, including access to gathering services on the Specified Project, on terms mutually agreed to by Buyer and Seller in the Purchase Agreement.  Additionally, Seller shall retain the preferential right to access to the capacity to be owned by Buyer in Fort Union and the gathering assets of EMS for the purposes of gas or other energy linked commodity transactions on terms mutually agreed to by Buyer and Seller in the Purchase Agreement.</w:t>
            </w:r>
          </w:p>
          <w:p>
            <w:pPr>
              <w:pStyle w:val="Normal"/>
              <w:jc w:val="both"/>
              <w:rPr>
                <w:sz w:val="24"/>
              </w:rPr>
            </w:pPr>
            <w:r>
              <w:rPr>
                <w:sz w:val="24"/>
              </w:rPr>
            </w:r>
          </w:p>
          <w:p>
            <w:pPr>
              <w:pStyle w:val="Normal"/>
              <w:jc w:val="both"/>
              <w:rPr/>
            </w:pPr>
            <w:r>
              <w:rPr>
                <w:i/>
                <w:sz w:val="24"/>
              </w:rPr>
              <w:t>Term</w:t>
            </w:r>
            <w:r>
              <w:rPr>
                <w:sz w:val="24"/>
              </w:rPr>
              <w:t xml:space="preserve">.  The participation rights created hereunder shall terminate on the last day of the 60th month following the Closing Date.  </w:t>
            </w:r>
          </w:p>
          <w:p>
            <w:pPr>
              <w:pStyle w:val="Normal"/>
              <w:jc w:val="both"/>
              <w:rPr>
                <w:sz w:val="24"/>
              </w:rPr>
            </w:pPr>
            <w:r>
              <w:rPr>
                <w:sz w:val="24"/>
              </w:rPr>
            </w:r>
          </w:p>
          <w:p>
            <w:pPr>
              <w:pStyle w:val="Normal"/>
              <w:jc w:val="both"/>
              <w:rPr/>
            </w:pPr>
            <w:r>
              <w:rPr>
                <w:i/>
                <w:sz w:val="24"/>
              </w:rPr>
              <w:t>Certain Proprietary Rights.</w:t>
            </w:r>
            <w:r>
              <w:rPr>
                <w:sz w:val="24"/>
              </w:rPr>
              <w:t xml:space="preserve">  The proprietary rights to gas gathering transactions under development by Seller in the Specified Geographical Area will be assigned to Buyer.  Except for the joint participation in the Petro-Source transaction and as otherwise agreed to by Buyer and Seller, the proprietary rights to all other transactions either pending or under development by Seller, including those being developed by the Transferred Employees, shall remain the property of Seller.</w:t>
            </w:r>
          </w:p>
          <w:p>
            <w:pPr>
              <w:pStyle w:val="Normal"/>
              <w:jc w:val="both"/>
              <w:rPr>
                <w:sz w:val="24"/>
              </w:rPr>
            </w:pPr>
            <w:r>
              <w:rPr>
                <w:sz w:val="24"/>
              </w:rPr>
            </w:r>
          </w:p>
        </w:tc>
      </w:tr>
      <w:tr>
        <w:trPr/>
        <w:tc>
          <w:tcPr>
            <w:tcW w:w="2268" w:type="dxa"/>
            <w:tcBorders/>
          </w:tcPr>
          <w:p>
            <w:pPr>
              <w:pStyle w:val="Normal"/>
              <w:rPr>
                <w:b/>
                <w:sz w:val="24"/>
              </w:rPr>
            </w:pPr>
            <w:r>
              <w:rPr>
                <w:b/>
                <w:sz w:val="24"/>
              </w:rPr>
              <w:t>Related Agreement:</w:t>
            </w:r>
          </w:p>
        </w:tc>
        <w:tc>
          <w:tcPr>
            <w:tcW w:w="7308" w:type="dxa"/>
            <w:tcBorders/>
          </w:tcPr>
          <w:p>
            <w:pPr>
              <w:pStyle w:val="BodyText"/>
              <w:ind w:firstLine="18" w:start="-18" w:end="0"/>
              <w:rPr/>
            </w:pPr>
            <w:r>
              <w:rPr/>
              <w:t>At the closing, Seller shall enter into a gathering agreement with EMS (the “EMS Gathering Agreement”) that will provide for the gathering and redelivery of gas purchased by Seller (or its affiliates) under Gas Purchase Agreements with producers on the gathering system of EMS.  The EMS Gathering Agreement will provide for a monthly gathering charge with (i) a demand charge component equal to $14,000 per day for the period September 1, 2000 through September 30, 2000, $22,400 per day for the period October 1, 2000 through September 30, 2001, and $25,200 per day for the period October 1, 2001 through December 31, 2001 and (ii) a variable charge component equal to the sum of the variable charges contained in each of the Gathering Agreements between EMS and such producers for which Seller’s Gas Purchase Agreement has tolled the start date of each such Gathering Agreement, as each such Gas Purchase Agreement may be amended, extended, renewed, or replaced.  Seller shall have the option to gather other gas purchased by Seller on the EMS gathering system, on terms and conditions to be agreed upon by the parties at the time of such purchase. The EMS Gathering Agreement also will include such other terms and conditions as may be agreed to by Buyer and Seller.</w:t>
            </w:r>
          </w:p>
          <w:p>
            <w:pPr>
              <w:pStyle w:val="Normal"/>
              <w:ind w:firstLine="18" w:start="-18" w:end="0"/>
              <w:jc w:val="both"/>
              <w:rPr>
                <w:i/>
                <w:i/>
                <w:sz w:val="24"/>
              </w:rPr>
            </w:pPr>
            <w:r>
              <w:rPr>
                <w:i/>
                <w:sz w:val="24"/>
              </w:rPr>
            </w:r>
          </w:p>
        </w:tc>
      </w:tr>
      <w:tr>
        <w:trPr/>
        <w:tc>
          <w:tcPr>
            <w:tcW w:w="2268" w:type="dxa"/>
            <w:tcBorders/>
          </w:tcPr>
          <w:p>
            <w:pPr>
              <w:pStyle w:val="Normal"/>
              <w:rPr>
                <w:b/>
                <w:sz w:val="24"/>
              </w:rPr>
            </w:pPr>
            <w:r>
              <w:rPr>
                <w:b/>
                <w:sz w:val="24"/>
              </w:rPr>
              <w:t>Expenses:</w:t>
            </w:r>
          </w:p>
        </w:tc>
        <w:tc>
          <w:tcPr>
            <w:tcW w:w="7308" w:type="dxa"/>
            <w:tcBorders/>
          </w:tcPr>
          <w:p>
            <w:pPr>
              <w:pStyle w:val="BodyText"/>
              <w:rPr/>
            </w:pPr>
            <w:r>
              <w:rPr/>
              <w:t>Each Party shall be responsible for all costs and expenses it incurs to negotiate the Purchase Agreement and otherwise in connection with the consummation of the Transaction.  Buyer shall pay all fees related to any required filings under the Hart-Scott-Rodino Act for this Transaction and Seller’s costs and expenses to monetize the Note.</w:t>
            </w:r>
          </w:p>
          <w:p>
            <w:pPr>
              <w:pStyle w:val="BodyText"/>
              <w:rPr/>
            </w:pPr>
            <w:r>
              <w:rPr/>
            </w:r>
          </w:p>
        </w:tc>
      </w:tr>
      <w:tr>
        <w:trPr/>
        <w:tc>
          <w:tcPr>
            <w:tcW w:w="2268" w:type="dxa"/>
            <w:tcBorders/>
          </w:tcPr>
          <w:p>
            <w:pPr>
              <w:pStyle w:val="Normal"/>
              <w:rPr>
                <w:b/>
                <w:sz w:val="24"/>
              </w:rPr>
            </w:pPr>
            <w:r>
              <w:rPr>
                <w:b/>
                <w:sz w:val="24"/>
              </w:rPr>
              <w:t>Choice of Law:</w:t>
            </w:r>
          </w:p>
        </w:tc>
        <w:tc>
          <w:tcPr>
            <w:tcW w:w="7308" w:type="dxa"/>
            <w:tcBorders/>
          </w:tcPr>
          <w:p>
            <w:pPr>
              <w:pStyle w:val="BodyText"/>
              <w:rPr/>
            </w:pPr>
            <w:r>
              <w:rPr/>
              <w:t>The Purchase Agreement shall be governed by the laws of the State of Texas.</w:t>
            </w:r>
          </w:p>
          <w:p>
            <w:pPr>
              <w:pStyle w:val="BodyText"/>
              <w:rPr/>
            </w:pPr>
            <w:r>
              <w:rPr/>
            </w:r>
          </w:p>
        </w:tc>
      </w:tr>
      <w:tr>
        <w:trPr/>
        <w:tc>
          <w:tcPr>
            <w:tcW w:w="2268" w:type="dxa"/>
            <w:tcBorders/>
          </w:tcPr>
          <w:p>
            <w:pPr>
              <w:pStyle w:val="Normal"/>
              <w:rPr>
                <w:b/>
                <w:sz w:val="24"/>
              </w:rPr>
            </w:pPr>
            <w:r>
              <w:rPr>
                <w:b/>
                <w:sz w:val="24"/>
              </w:rPr>
              <w:t>Taxes:</w:t>
            </w:r>
          </w:p>
        </w:tc>
        <w:tc>
          <w:tcPr>
            <w:tcW w:w="7308" w:type="dxa"/>
            <w:tcBorders/>
          </w:tcPr>
          <w:p>
            <w:pPr>
              <w:pStyle w:val="BodyText"/>
              <w:rPr/>
            </w:pPr>
            <w:r>
              <w:rPr/>
              <w:t>Seller shall be responsible for all taxes with respect to Transferred Membership Interests that are attributable to any whole or partial taxable period prior to the Effective Date and Buyer shall be responsible for all taxes with respect to the Transferred Membership Interests that are attributable to any whole or partial taxable period after the Effective Date.</w:t>
            </w:r>
          </w:p>
          <w:p>
            <w:pPr>
              <w:pStyle w:val="Normal"/>
              <w:jc w:val="both"/>
              <w:rPr>
                <w:sz w:val="24"/>
              </w:rPr>
            </w:pPr>
            <w:r>
              <w:rPr>
                <w:sz w:val="24"/>
              </w:rPr>
            </w:r>
          </w:p>
        </w:tc>
      </w:tr>
    </w:tbl>
    <w:p>
      <w:pPr>
        <w:pStyle w:val="BodyText"/>
        <w:ind w:hanging="3600" w:start="3600" w:end="0"/>
        <w:rPr>
          <w:b/>
        </w:rPr>
      </w:pPr>
      <w:r>
        <w:rPr>
          <w:b/>
        </w:rPr>
      </w:r>
      <w:r>
        <w:br w:type="page"/>
      </w:r>
    </w:p>
    <w:p>
      <w:pPr>
        <w:pStyle w:val="BodyText"/>
        <w:jc w:val="center"/>
        <w:rPr>
          <w:b/>
        </w:rPr>
      </w:pPr>
      <w:r>
        <w:rPr>
          <w:b/>
        </w:rPr>
      </w:r>
    </w:p>
    <w:p>
      <w:pPr>
        <w:pStyle w:val="Title"/>
        <w:rPr/>
      </w:pPr>
      <w:r>
        <w:rPr/>
        <w:t>Attachment 2</w:t>
      </w:r>
    </w:p>
    <w:p>
      <w:pPr>
        <w:pStyle w:val="Title"/>
        <w:rPr/>
      </w:pPr>
      <w:r>
        <w:rPr/>
      </w:r>
    </w:p>
    <w:p>
      <w:pPr>
        <w:pStyle w:val="Title"/>
        <w:rPr/>
      </w:pPr>
      <w:r>
        <w:rPr/>
        <w:t>TERMS OF PROMISSORY NOTE</w:t>
      </w:r>
    </w:p>
    <w:p>
      <w:pPr>
        <w:pStyle w:val="Title"/>
        <w:rPr/>
      </w:pPr>
      <w:r>
        <w:rPr/>
      </w:r>
    </w:p>
    <w:p>
      <w:pPr>
        <w:pStyle w:val="Title"/>
        <w:rPr/>
      </w:pPr>
      <w:r>
        <w:rPr/>
        <w:t>[attached behind this page]</w:t>
      </w:r>
      <w:r>
        <w:br w:type="page"/>
      </w:r>
    </w:p>
    <w:p>
      <w:pPr>
        <w:pStyle w:val="Title"/>
        <w:rPr>
          <w:b w:val="false"/>
        </w:rPr>
      </w:pPr>
      <w:r>
        <w:rPr>
          <w:b w:val="false"/>
        </w:rPr>
      </w:r>
    </w:p>
    <w:p>
      <w:pPr>
        <w:pStyle w:val="Title"/>
        <w:rPr/>
      </w:pPr>
      <w:r>
        <w:rPr/>
        <w:t>Attachment 3</w:t>
      </w:r>
    </w:p>
    <w:p>
      <w:pPr>
        <w:pStyle w:val="Title"/>
        <w:rPr/>
      </w:pPr>
      <w:r>
        <w:rPr/>
      </w:r>
    </w:p>
    <w:p>
      <w:pPr>
        <w:pStyle w:val="Title"/>
        <w:rPr/>
      </w:pPr>
      <w:r>
        <w:rPr/>
        <w:t>INITIAL ORGANIZATION CHART</w:t>
      </w:r>
    </w:p>
    <w:p>
      <w:pPr>
        <w:pStyle w:val="Title"/>
        <w:rPr/>
      </w:pPr>
      <w:r>
        <w:rPr/>
      </w:r>
    </w:p>
    <w:p>
      <w:pPr>
        <w:pStyle w:val="Title"/>
        <w:rPr/>
      </w:pPr>
      <w:r>
        <w:rPr/>
        <w:t>[attached behind this page]</w:t>
      </w:r>
      <w:r>
        <w:br w:type="page"/>
      </w:r>
    </w:p>
    <w:p>
      <w:pPr>
        <w:pStyle w:val="Title"/>
        <w:rPr>
          <w:b w:val="false"/>
        </w:rPr>
      </w:pPr>
      <w:r>
        <w:rPr>
          <w:b w:val="false"/>
        </w:rPr>
      </w:r>
    </w:p>
    <w:p>
      <w:pPr>
        <w:pStyle w:val="Title"/>
        <w:rPr/>
      </w:pPr>
      <w:r>
        <w:rPr/>
        <w:t>Attachment 4</w:t>
      </w:r>
    </w:p>
    <w:p>
      <w:pPr>
        <w:pStyle w:val="Title"/>
        <w:rPr/>
      </w:pPr>
      <w:r>
        <w:rPr/>
      </w:r>
    </w:p>
    <w:p>
      <w:pPr>
        <w:pStyle w:val="Title"/>
        <w:rPr/>
      </w:pPr>
      <w:r>
        <w:rPr/>
        <w:t>DESCRIPTION OF SPECIFIED GEOGRAPHICAL AREA</w:t>
      </w:r>
    </w:p>
    <w:p>
      <w:pPr>
        <w:pStyle w:val="Title"/>
        <w:rPr/>
      </w:pPr>
      <w:r>
        <w:rPr/>
      </w:r>
    </w:p>
    <w:p>
      <w:pPr>
        <w:pStyle w:val="Title"/>
        <w:rPr/>
      </w:pPr>
      <w:r>
        <w:rPr/>
        <w:t>[attached behind this page]</w:t>
      </w:r>
    </w:p>
    <w:sectPr>
      <w:footerReference w:type="default" r:id="rId2"/>
      <w:footerReference w:type="first" r:id="rId3"/>
      <w:type w:val="nextPage"/>
      <w:pgSz w:w="12240" w:h="15840"/>
      <w:pgMar w:left="1440" w:right="1440" w:gutter="0" w:header="0" w:top="1440" w:footer="1008" w:bottom="1440"/>
      <w:pgNumType w:start="1"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tabs>
        <w:tab w:val="clear" w:pos="4320"/>
        <w:tab w:val="clear" w:pos="8640"/>
        <w:tab w:val="right" w:pos="9360" w:leader="none"/>
      </w:tabs>
      <w:rPr/>
    </w:pPr>
    <w:r>
      <w:rPr>
        <w:sz w:val="16"/>
      </w:rPr>
      <w:t>560942.7</w:t>
      <w:tab/>
    </w:r>
    <w:r>
      <w:rPr>
        <w:i/>
        <w:sz w:val="20"/>
      </w:rPr>
      <w:t>Letter of Understanding</w:t>
    </w:r>
  </w:p>
  <w:p>
    <w:pPr>
      <w:pStyle w:val="Footer"/>
      <w:tabs>
        <w:tab w:val="clear" w:pos="4320"/>
        <w:tab w:val="clear" w:pos="8640"/>
        <w:tab w:val="right" w:pos="9360" w:leader="none"/>
      </w:tabs>
      <w:rPr/>
    </w:pPr>
    <w:r>
      <w:rPr>
        <w:i/>
        <w:sz w:val="20"/>
      </w:rPr>
      <w:tab/>
      <w:t xml:space="preserve">Page </w:t>
    </w:r>
    <w:r>
      <w:rPr>
        <w:rStyle w:val="PageNumber"/>
        <w:i/>
        <w:sz w:val="20"/>
      </w:rPr>
      <w:fldChar w:fldCharType="begin"/>
    </w:r>
    <w:r>
      <w:rPr>
        <w:rStyle w:val="PageNumber"/>
        <w:sz w:val="20"/>
        <w:i/>
      </w:rPr>
      <w:instrText xml:space="preserve"> PAGE </w:instrText>
    </w:r>
    <w:r>
      <w:rPr>
        <w:rStyle w:val="PageNumber"/>
        <w:sz w:val="20"/>
        <w:i/>
      </w:rPr>
      <w:fldChar w:fldCharType="separate"/>
    </w:r>
    <w:r>
      <w:rPr>
        <w:rStyle w:val="PageNumber"/>
        <w:sz w:val="20"/>
        <w:i/>
      </w:rPr>
      <w:t>13</w:t>
    </w:r>
    <w:r>
      <w:rPr>
        <w:rStyle w:val="PageNumber"/>
        <w:sz w:val="20"/>
        <w:i/>
      </w:rPr>
      <w:fldChar w:fldCharType="end"/>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tabs>
        <w:tab w:val="clear" w:pos="4320"/>
        <w:tab w:val="clear" w:pos="8640"/>
        <w:tab w:val="right" w:pos="9360" w:leader="none"/>
      </w:tabs>
      <w:rPr/>
    </w:pPr>
    <w:r>
      <w:rPr>
        <w:sz w:val="16"/>
      </w:rPr>
      <w:t>560942.7</w:t>
      <w:tab/>
    </w:r>
    <w:r>
      <w:rPr>
        <w:i/>
        <w:sz w:val="20"/>
      </w:rPr>
      <w:t>Letter of Understanding</w:t>
    </w:r>
  </w:p>
  <w:p>
    <w:pPr>
      <w:pStyle w:val="Footer"/>
      <w:tabs>
        <w:tab w:val="clear" w:pos="4320"/>
        <w:tab w:val="clear" w:pos="8640"/>
        <w:tab w:val="right" w:pos="9360" w:leader="none"/>
      </w:tabs>
      <w:rPr/>
    </w:pPr>
    <w:r>
      <w:rPr>
        <w:i/>
        <w:sz w:val="20"/>
      </w:rPr>
      <w:tab/>
      <w:t xml:space="preserve">Page </w:t>
    </w:r>
    <w:r>
      <w:rPr>
        <w:rStyle w:val="PageNumber"/>
        <w:i/>
        <w:sz w:val="20"/>
      </w:rPr>
      <w:fldChar w:fldCharType="begin"/>
    </w:r>
    <w:r>
      <w:rPr>
        <w:rStyle w:val="PageNumber"/>
        <w:sz w:val="20"/>
        <w:i/>
      </w:rPr>
      <w:instrText xml:space="preserve"> PAGE </w:instrText>
    </w:r>
    <w:r>
      <w:rPr>
        <w:rStyle w:val="PageNumber"/>
        <w:sz w:val="20"/>
        <w:i/>
      </w:rPr>
      <w:fldChar w:fldCharType="separate"/>
    </w:r>
    <w:r>
      <w:rPr>
        <w:rStyle w:val="PageNumber"/>
        <w:sz w:val="20"/>
        <w:i/>
      </w:rPr>
      <w:t>1</w:t>
    </w:r>
    <w:r>
      <w:rPr>
        <w:rStyle w:val="PageNumber"/>
        <w:sz w:val="20"/>
        <w:i/>
      </w:rPr>
      <w:fldChar w:fldCharType="end"/>
    </w:r>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decimal"/>
      <w:lvlText w:val="%1."/>
      <w:lvlJc w:val="start"/>
      <w:pPr>
        <w:tabs>
          <w:tab w:val="num" w:pos="720"/>
        </w:tabs>
        <w:ind w:start="0" w:firstLine="72"/>
      </w:pPr>
      <w:rPr/>
    </w:lvl>
    <w:lvl w:ilvl="1">
      <w:start w:val="1"/>
      <w:pStyle w:val="Heading2"/>
      <w:numFmt w:val="decimal"/>
      <w:lvlText w:val="%2)"/>
      <w:lvlJc w:val="start"/>
      <w:pPr>
        <w:tabs>
          <w:tab w:val="num" w:pos="1440"/>
        </w:tabs>
        <w:ind w:start="1440" w:hanging="720"/>
      </w:pPr>
      <w:rPr>
        <w:sz w:val="24"/>
        <w:i w:val="false"/>
        <w:u w:val="none"/>
        <w:b w:val="false"/>
        <w:rFonts w:ascii="Times New Roman" w:hAnsi="Times New Roman" w:cs="Times New Roman"/>
      </w:rPr>
    </w:lvl>
    <w:lvl w:ilvl="2">
      <w:start w:val="1"/>
      <w:pStyle w:val="Heading3"/>
      <w:numFmt w:val="upperLetter"/>
      <w:lvlText w:val="%3."/>
      <w:lvlJc w:val="start"/>
      <w:pPr>
        <w:tabs>
          <w:tab w:val="num" w:pos="1440"/>
        </w:tabs>
        <w:ind w:start="1440" w:hanging="720"/>
      </w:pPr>
    </w:lvl>
    <w:lvl w:ilvl="3">
      <w:start w:val="1"/>
      <w:pStyle w:val="Heading4"/>
      <w:numFmt w:val="lowerRoman"/>
      <w:lvlText w:val="(%4)"/>
      <w:lvlJc w:val="start"/>
      <w:pPr>
        <w:tabs>
          <w:tab w:val="num" w:pos="2160"/>
        </w:tabs>
        <w:ind w:start="720" w:firstLine="720"/>
      </w:pPr>
    </w:lvl>
    <w:lvl w:ilvl="4">
      <w:start w:val="1"/>
      <w:pStyle w:val="Heading5"/>
      <w:numFmt w:val="decimal"/>
      <w:suff w:val="nothing"/>
      <w:lvlText w:val="(%5)"/>
      <w:lvlJc w:val="start"/>
      <w:pPr>
        <w:tabs>
          <w:tab w:val="num" w:pos="0"/>
        </w:tabs>
        <w:ind w:start="2160" w:firstLine="720"/>
      </w:pPr>
      <w:rPr/>
    </w:lvl>
    <w:lvl w:ilvl="5">
      <w:start w:val="1"/>
      <w:pStyle w:val="Heading6"/>
      <w:numFmt w:val="upperLetter"/>
      <w:lvlText w:val="(%6)"/>
      <w:lvlJc w:val="start"/>
      <w:pPr>
        <w:tabs>
          <w:tab w:val="num" w:pos="3960"/>
        </w:tabs>
        <w:ind w:start="2880" w:firstLine="720"/>
      </w:pPr>
      <w:rPr/>
    </w:lvl>
    <w:lvl w:ilvl="6">
      <w:start w:val="1"/>
      <w:pStyle w:val="Heading7"/>
      <w:numFmt w:val="decimal"/>
      <w:lvlText w:val="%7)"/>
      <w:lvlJc w:val="start"/>
      <w:pPr>
        <w:tabs>
          <w:tab w:val="num" w:pos="4680"/>
        </w:tabs>
        <w:ind w:start="3600" w:firstLine="720"/>
      </w:pPr>
      <w:rPr/>
    </w:lvl>
    <w:lvl w:ilvl="7">
      <w:start w:val="1"/>
      <w:pStyle w:val="Heading8"/>
      <w:numFmt w:val="lowerLetter"/>
      <w:lvlText w:val="%8)"/>
      <w:lvlJc w:val="start"/>
      <w:pPr>
        <w:tabs>
          <w:tab w:val="num" w:pos="5400"/>
        </w:tabs>
        <w:ind w:start="4320" w:firstLine="720"/>
      </w:pPr>
      <w:rPr/>
    </w:lvl>
    <w:lvl w:ilvl="8">
      <w:start w:val="1"/>
      <w:pStyle w:val="Heading9"/>
      <w:numFmt w:val="bullet"/>
      <w:lvlText w:val=""/>
      <w:lvlJc w:val="start"/>
      <w:pPr>
        <w:tabs>
          <w:tab w:val="num" w:pos="1440"/>
        </w:tabs>
        <w:ind w:start="1440" w:hanging="720"/>
      </w:pPr>
      <w:rPr>
        <w:rFonts w:ascii="Symbol" w:hAnsi="Symbol" w:cs="Symbol" w:hint="default"/>
        <w:sz w:val="28"/>
        <w:color w:val="auto"/>
      </w:rPr>
    </w:lvl>
  </w:abstractNum>
  <w:abstractNum w:abstractNumId="2">
    <w:lvl w:ilvl="0">
      <w:start w:val="1"/>
      <w:numFmt w:val="lowerRoman"/>
      <w:lvlText w:val="(%1)"/>
      <w:lvlJc w:val="start"/>
      <w:pPr>
        <w:tabs>
          <w:tab w:val="num" w:pos="1332"/>
        </w:tabs>
        <w:ind w:start="1332" w:hanging="720"/>
      </w:pPr>
      <w:rPr/>
    </w:lvl>
  </w:abstractNum>
  <w:abstractNum w:abstractNumId="3">
    <w:lvl w:ilvl="0">
      <w:start w:val="1"/>
      <w:numFmt w:val="lowerRoman"/>
      <w:lvlText w:val="(%1)"/>
      <w:lvlJc w:val="start"/>
      <w:pPr>
        <w:tabs>
          <w:tab w:val="num" w:pos="1332"/>
        </w:tabs>
        <w:ind w:start="1332" w:hanging="720"/>
      </w:pPr>
      <w:rPr/>
    </w:lvl>
  </w:abstractNum>
  <w:abstractNum w:abstractNumId="4">
    <w:lvl w:ilvl="0">
      <w:start w:val="1"/>
      <w:numFmt w:val="lowerRoman"/>
      <w:lvlText w:val="(%1)"/>
      <w:lvlJc w:val="start"/>
      <w:pPr>
        <w:tabs>
          <w:tab w:val="num" w:pos="1332"/>
        </w:tabs>
        <w:ind w:start="1332" w:hanging="720"/>
      </w:pPr>
      <w:rPr/>
    </w:lvl>
  </w:abstractNum>
  <w:num w:numId="1">
    <w:abstractNumId w:val="1"/>
  </w:num>
  <w:num w:numId="2">
    <w:abstractNumId w:val="2"/>
  </w:num>
  <w:num w:numId="3">
    <w:abstractNumId w:val="3"/>
  </w:num>
  <w:num w:numId="4">
    <w:abstractNumId w:val="4"/>
  </w:num>
</w:numbering>
</file>

<file path=word/settings.xml><?xml version="1.0" encoding="utf-8"?>
<w:settings xmlns:w="http://schemas.openxmlformats.org/wordprocessingml/2006/main">
  <w:zoom w:val="bestFit" w:percent="20"/>
  <w:defaultTabStop w:val="720"/>
  <w:autoHyphenation w:val="true"/>
  <w:hyphenationZone w:val="0"/>
  <w:compat>
    <w:compatSetting w:name="compatibilityMode" w:uri="http://schemas.microsoft.com/office/word" w:val="11"/>
  </w:compat>
  <w:docVars>
    <w:docVar w:name="DocXHeadingStrip" w:val="Done"/>
    <w:docVar w:name="DocXParaNum" w:val="Done"/>
  </w:docVars>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bidi="ar-SA" w:eastAsia="zh-CN"/>
    </w:rPr>
  </w:style>
  <w:style w:type="paragraph" w:styleId="Heading1">
    <w:name w:val="heading 1"/>
    <w:basedOn w:val="Heading"/>
    <w:next w:val="BodyText"/>
    <w:qFormat/>
    <w:pPr>
      <w:numPr>
        <w:ilvl w:val="0"/>
        <w:numId w:val="1"/>
      </w:numPr>
      <w:tabs>
        <w:tab w:val="left" w:pos="720" w:leader="none"/>
      </w:tabs>
      <w:jc w:val="both"/>
      <w:outlineLvl w:val="0"/>
    </w:pPr>
    <w:rPr/>
  </w:style>
  <w:style w:type="paragraph" w:styleId="Heading2">
    <w:name w:val="heading 2"/>
    <w:basedOn w:val="Heading"/>
    <w:next w:val="BodyText"/>
    <w:qFormat/>
    <w:pPr>
      <w:numPr>
        <w:ilvl w:val="1"/>
        <w:numId w:val="1"/>
      </w:numPr>
      <w:tabs>
        <w:tab w:val="left" w:pos="720" w:leader="none"/>
      </w:tabs>
      <w:jc w:val="both"/>
      <w:outlineLvl w:val="1"/>
    </w:pPr>
    <w:rPr/>
  </w:style>
  <w:style w:type="paragraph" w:styleId="Heading3">
    <w:name w:val="heading 3"/>
    <w:basedOn w:val="Heading"/>
    <w:next w:val="BodyText"/>
    <w:qFormat/>
    <w:pPr>
      <w:numPr>
        <w:ilvl w:val="2"/>
        <w:numId w:val="1"/>
      </w:numPr>
      <w:tabs>
        <w:tab w:val="left" w:pos="720" w:leader="none"/>
        <w:tab w:val="left" w:pos="1800" w:leader="none"/>
      </w:tabs>
      <w:jc w:val="both"/>
      <w:outlineLvl w:val="2"/>
    </w:pPr>
    <w:rPr/>
  </w:style>
  <w:style w:type="paragraph" w:styleId="Heading4">
    <w:name w:val="heading 4"/>
    <w:basedOn w:val="Heading"/>
    <w:next w:val="BodyText"/>
    <w:qFormat/>
    <w:pPr>
      <w:numPr>
        <w:ilvl w:val="3"/>
        <w:numId w:val="1"/>
      </w:numPr>
      <w:tabs>
        <w:tab w:val="clear" w:pos="720"/>
        <w:tab w:val="left" w:pos="2160" w:leader="none"/>
      </w:tabs>
      <w:jc w:val="both"/>
      <w:outlineLvl w:val="3"/>
    </w:pPr>
    <w:rPr/>
  </w:style>
  <w:style w:type="paragraph" w:styleId="Heading5">
    <w:name w:val="heading 5"/>
    <w:basedOn w:val="Heading"/>
    <w:next w:val="BodyText"/>
    <w:qFormat/>
    <w:pPr>
      <w:numPr>
        <w:ilvl w:val="4"/>
        <w:numId w:val="1"/>
      </w:numPr>
      <w:outlineLvl w:val="4"/>
    </w:pPr>
    <w:rPr/>
  </w:style>
  <w:style w:type="paragraph" w:styleId="Heading6">
    <w:name w:val="heading 6"/>
    <w:basedOn w:val="Heading"/>
    <w:next w:val="BodyText"/>
    <w:qFormat/>
    <w:pPr>
      <w:numPr>
        <w:ilvl w:val="5"/>
        <w:numId w:val="1"/>
      </w:numPr>
      <w:tabs>
        <w:tab w:val="clear" w:pos="720"/>
        <w:tab w:val="left" w:pos="3960" w:leader="none"/>
      </w:tabs>
      <w:outlineLvl w:val="5"/>
    </w:pPr>
    <w:rPr/>
  </w:style>
  <w:style w:type="paragraph" w:styleId="Heading7">
    <w:name w:val="heading 7"/>
    <w:basedOn w:val="Heading"/>
    <w:next w:val="BodyText"/>
    <w:qFormat/>
    <w:pPr>
      <w:numPr>
        <w:ilvl w:val="6"/>
        <w:numId w:val="1"/>
      </w:numPr>
      <w:tabs>
        <w:tab w:val="clear" w:pos="720"/>
        <w:tab w:val="left" w:pos="4680" w:leader="none"/>
      </w:tabs>
      <w:outlineLvl w:val="6"/>
    </w:pPr>
    <w:rPr/>
  </w:style>
  <w:style w:type="paragraph" w:styleId="Heading8">
    <w:name w:val="heading 8"/>
    <w:basedOn w:val="Heading"/>
    <w:next w:val="BodyText"/>
    <w:qFormat/>
    <w:pPr>
      <w:numPr>
        <w:ilvl w:val="7"/>
        <w:numId w:val="1"/>
      </w:numPr>
      <w:tabs>
        <w:tab w:val="clear" w:pos="720"/>
        <w:tab w:val="left" w:pos="5400" w:leader="none"/>
      </w:tabs>
      <w:outlineLvl w:val="7"/>
    </w:pPr>
    <w:rPr/>
  </w:style>
  <w:style w:type="paragraph" w:styleId="Heading9">
    <w:name w:val="heading 9"/>
    <w:basedOn w:val="Heading"/>
    <w:next w:val="BodyText"/>
    <w:qFormat/>
    <w:pPr>
      <w:numPr>
        <w:ilvl w:val="8"/>
        <w:numId w:val="1"/>
      </w:numPr>
      <w:tabs>
        <w:tab w:val="clear" w:pos="720"/>
        <w:tab w:val="left" w:pos="1440" w:leader="none"/>
      </w:tabs>
      <w:outlineLvl w:val="8"/>
    </w:pPr>
    <w:rPr/>
  </w:style>
  <w:style w:type="character" w:styleId="WW8Num2z0">
    <w:name w:val="WW8Num2z0"/>
    <w:qFormat/>
    <w:rPr/>
  </w:style>
  <w:style w:type="character" w:styleId="WW8Num3z0">
    <w:name w:val="WW8Num3z0"/>
    <w:qFormat/>
    <w:rPr/>
  </w:style>
  <w:style w:type="character" w:styleId="WW8Num3z1">
    <w:name w:val="WW8Num3z1"/>
    <w:qFormat/>
    <w:rPr>
      <w:rFonts w:ascii="Times New Roman" w:hAnsi="Times New Roman" w:cs="Times New Roman"/>
      <w:b w:val="false"/>
      <w:i w:val="false"/>
      <w:sz w:val="24"/>
      <w:u w:val="none"/>
    </w:rPr>
  </w:style>
  <w:style w:type="character" w:styleId="WW8Num3z8">
    <w:name w:val="WW8Num3z8"/>
    <w:qFormat/>
    <w:rPr>
      <w:rFonts w:ascii="Symbol" w:hAnsi="Symbol" w:cs="Symbol"/>
      <w:color w:val="auto"/>
      <w:sz w:val="28"/>
    </w:rPr>
  </w:style>
  <w:style w:type="character" w:styleId="WW8Num4z0">
    <w:name w:val="WW8Num4z0"/>
    <w:qFormat/>
    <w:rPr/>
  </w:style>
  <w:style w:type="character" w:styleId="WW8Num5z0">
    <w:name w:val="WW8Num5z0"/>
    <w:qFormat/>
    <w:rPr/>
  </w:style>
  <w:style w:type="character" w:styleId="WW8Num6z0">
    <w:name w:val="WW8Num6z0"/>
    <w:qFormat/>
    <w:rPr/>
  </w:style>
  <w:style w:type="character" w:styleId="WW8Num7z0">
    <w:name w:val="WW8Num7z0"/>
    <w:qFormat/>
    <w:rPr/>
  </w:style>
  <w:style w:type="character" w:styleId="DefaultParagraphFont">
    <w:name w:val="Default Paragraph Font"/>
    <w:qFormat/>
    <w:rPr/>
  </w:style>
  <w:style w:type="character" w:styleId="FootnoteCharacters">
    <w:name w:val="Footnote Characters"/>
    <w:basedOn w:val="DefaultParagraphFont"/>
    <w:qFormat/>
    <w:rPr>
      <w:sz w:val="16"/>
      <w:vertAlign w:val="superscript"/>
    </w:rPr>
  </w:style>
  <w:style w:type="character" w:styleId="ParaNum">
    <w:name w:val="ParaNum"/>
    <w:basedOn w:val="DefaultParagraphFont"/>
    <w:qFormat/>
    <w:rPr>
      <w:rFonts w:ascii="Times New Roman" w:hAnsi="Times New Roman" w:cs="Times New Roman"/>
      <w:b w:val="false"/>
      <w:i w:val="false"/>
      <w:vanish w:val="false"/>
      <w:sz w:val="24"/>
      <w:u w:val="none"/>
    </w:rPr>
  </w:style>
  <w:style w:type="character" w:styleId="PageNumber">
    <w:name w:val="page number"/>
    <w:basedOn w:val="DefaultParagraphFont"/>
    <w:rPr/>
  </w:style>
  <w:style w:type="paragraph" w:styleId="Heading">
    <w:name w:val="Heading"/>
    <w:basedOn w:val="Normal"/>
    <w:next w:val="BodyText"/>
    <w:qFormat/>
    <w:pPr>
      <w:spacing w:before="0" w:after="240"/>
      <w:jc w:val="center"/>
    </w:pPr>
    <w:rPr>
      <w:sz w:val="24"/>
    </w:rPr>
  </w:style>
  <w:style w:type="paragraph" w:styleId="BodyText">
    <w:name w:val="Body Text"/>
    <w:basedOn w:val="Normal"/>
    <w:pPr>
      <w:jc w:val="both"/>
    </w:pPr>
    <w:rPr>
      <w:sz w:val="24"/>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Justified">
    <w:name w:val="Justified"/>
    <w:basedOn w:val="Normal"/>
    <w:next w:val="Heading2"/>
    <w:qFormat/>
    <w:pPr>
      <w:spacing w:before="0" w:after="120"/>
      <w:jc w:val="both"/>
    </w:pPr>
    <w:rPr/>
  </w:style>
  <w:style w:type="paragraph" w:styleId="EndnoteText">
    <w:name w:val="endnote text"/>
    <w:basedOn w:val="Normal"/>
    <w:pPr/>
    <w:rPr>
      <w:sz w:val="20"/>
    </w:rPr>
  </w:style>
  <w:style w:type="paragraph" w:styleId="TOC7">
    <w:name w:val="toc 7"/>
    <w:basedOn w:val="Normal"/>
    <w:pPr>
      <w:spacing w:before="0" w:after="240"/>
      <w:ind w:hanging="0" w:start="0" w:end="720"/>
    </w:pPr>
    <w:rPr/>
  </w:style>
  <w:style w:type="paragraph" w:styleId="TOC6">
    <w:name w:val="toc 6"/>
    <w:basedOn w:val="Normal"/>
    <w:pPr>
      <w:spacing w:before="0" w:after="240"/>
      <w:ind w:hanging="0" w:start="0" w:end="720"/>
    </w:pPr>
    <w:rPr/>
  </w:style>
  <w:style w:type="paragraph" w:styleId="TOC4">
    <w:name w:val="toc 4"/>
    <w:basedOn w:val="Normal"/>
    <w:next w:val="Normal"/>
    <w:pPr>
      <w:tabs>
        <w:tab w:val="clear" w:pos="720"/>
        <w:tab w:val="left" w:pos="8280" w:leader="dot"/>
        <w:tab w:val="right" w:pos="8640" w:leader="none"/>
      </w:tabs>
      <w:spacing w:before="0" w:after="240"/>
      <w:ind w:hanging="0" w:start="0" w:end="720"/>
    </w:pPr>
    <w:rPr/>
  </w:style>
  <w:style w:type="paragraph" w:styleId="TOC3">
    <w:name w:val="toc 3"/>
    <w:basedOn w:val="Normal"/>
    <w:next w:val="Normal"/>
    <w:pPr>
      <w:tabs>
        <w:tab w:val="clear" w:pos="720"/>
        <w:tab w:val="left" w:pos="8280" w:leader="dot"/>
        <w:tab w:val="right" w:pos="8640" w:leader="none"/>
      </w:tabs>
      <w:spacing w:before="0" w:after="240"/>
      <w:ind w:hanging="0" w:start="0" w:end="720"/>
    </w:pPr>
    <w:rPr/>
  </w:style>
  <w:style w:type="paragraph" w:styleId="TOC2">
    <w:name w:val="toc 2"/>
    <w:basedOn w:val="Normal"/>
    <w:next w:val="Normal"/>
    <w:pPr>
      <w:tabs>
        <w:tab w:val="clear" w:pos="720"/>
        <w:tab w:val="left" w:pos="8280" w:leader="dot"/>
        <w:tab w:val="right" w:pos="8640" w:leader="none"/>
      </w:tabs>
      <w:spacing w:before="0" w:after="240"/>
      <w:ind w:hanging="0" w:start="0" w:end="720"/>
    </w:pPr>
    <w:rPr/>
  </w:style>
  <w:style w:type="paragraph" w:styleId="TOC1">
    <w:name w:val="toc 1"/>
    <w:basedOn w:val="Normal"/>
    <w:next w:val="Normal"/>
    <w:pPr>
      <w:tabs>
        <w:tab w:val="clear" w:pos="720"/>
        <w:tab w:val="left" w:pos="8280" w:leader="dot"/>
        <w:tab w:val="right" w:pos="8640" w:leader="none"/>
      </w:tabs>
      <w:spacing w:before="0" w:after="240"/>
      <w:ind w:hanging="0" w:start="0" w:end="720"/>
    </w:pPr>
    <w:rPr>
      <w:caps/>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center" w:pos="4320" w:leader="none"/>
        <w:tab w:val="right" w:pos="8640" w:leader="none"/>
      </w:tabs>
    </w:pPr>
    <w:rPr>
      <w:sz w:val="24"/>
    </w:rPr>
  </w:style>
  <w:style w:type="paragraph" w:styleId="Header">
    <w:name w:val="header"/>
    <w:basedOn w:val="Normal"/>
    <w:pPr>
      <w:tabs>
        <w:tab w:val="clear" w:pos="720"/>
        <w:tab w:val="center" w:pos="4320" w:leader="none"/>
        <w:tab w:val="right" w:pos="8640" w:leader="none"/>
      </w:tabs>
    </w:pPr>
    <w:rPr/>
  </w:style>
  <w:style w:type="paragraph" w:styleId="FootnoteText">
    <w:name w:val="footnote text"/>
    <w:basedOn w:val="Normal"/>
    <w:pPr/>
    <w:rPr>
      <w:sz w:val="20"/>
    </w:rPr>
  </w:style>
  <w:style w:type="paragraph" w:styleId="NormalIndent">
    <w:name w:val="Normal Indent"/>
    <w:basedOn w:val="Normal"/>
    <w:qFormat/>
    <w:pPr>
      <w:ind w:hanging="0" w:start="720" w:end="0"/>
    </w:pPr>
    <w:rPr/>
  </w:style>
  <w:style w:type="paragraph" w:styleId="Hidden">
    <w:name w:val="Hidden"/>
    <w:basedOn w:val="Normal"/>
    <w:next w:val="Normal"/>
    <w:qFormat/>
    <w:pPr/>
    <w:rPr>
      <w:vanish/>
      <w:color w:val="FF0000"/>
    </w:rPr>
  </w:style>
  <w:style w:type="paragraph" w:styleId="BodyText2">
    <w:name w:val="Body Text 2"/>
    <w:basedOn w:val="Normal"/>
    <w:qFormat/>
    <w:pPr>
      <w:ind w:hanging="360" w:start="360" w:end="0"/>
      <w:jc w:val="both"/>
    </w:pPr>
    <w:rPr>
      <w:rFonts w:ascii="Times New Roman" w:hAnsi="Times New Roman" w:cs="Times New Roman"/>
      <w:sz w:val="22"/>
    </w:rPr>
  </w:style>
  <w:style w:type="paragraph" w:styleId="BodyTextIndent2">
    <w:name w:val="Body Text Indent 2"/>
    <w:basedOn w:val="Normal"/>
    <w:qFormat/>
    <w:pPr>
      <w:tabs>
        <w:tab w:val="clear" w:pos="720"/>
        <w:tab w:val="left" w:pos="360" w:leader="none"/>
      </w:tabs>
      <w:ind w:hanging="2880" w:start="2880" w:end="0"/>
      <w:jc w:val="both"/>
    </w:pPr>
    <w:rPr>
      <w:rFonts w:ascii="Times New Roman" w:hAnsi="Times New Roman" w:cs="Times New Roman"/>
      <w:sz w:val="22"/>
    </w:rPr>
  </w:style>
  <w:style w:type="paragraph" w:styleId="BodyTextIndent3">
    <w:name w:val="Body Text Indent 3"/>
    <w:basedOn w:val="Normal"/>
    <w:qFormat/>
    <w:pPr>
      <w:ind w:hanging="0" w:start="360" w:end="0"/>
      <w:jc w:val="both"/>
    </w:pPr>
    <w:rPr>
      <w:rFonts w:ascii="Times New Roman" w:hAnsi="Times New Roman" w:cs="Times New Roman"/>
      <w:sz w:val="22"/>
    </w:rPr>
  </w:style>
  <w:style w:type="paragraph" w:styleId="BodyTextFirstIndent">
    <w:name w:val="Body Text First Indent"/>
    <w:basedOn w:val="BodyText"/>
    <w:qFormat/>
    <w:pPr>
      <w:spacing w:before="0" w:after="240"/>
      <w:ind w:firstLine="720" w:start="0" w:end="0"/>
    </w:pPr>
    <w:rPr/>
  </w:style>
  <w:style w:type="paragraph" w:styleId="Signature">
    <w:name w:val="Signature"/>
    <w:basedOn w:val="Normal"/>
    <w:pPr>
      <w:tabs>
        <w:tab w:val="clear" w:pos="720"/>
        <w:tab w:val="right" w:pos="9360" w:leader="none"/>
      </w:tabs>
      <w:ind w:hanging="0" w:start="4320" w:end="0"/>
    </w:pPr>
    <w:rPr>
      <w:sz w:val="24"/>
    </w:rPr>
  </w:style>
  <w:style w:type="paragraph" w:styleId="Title">
    <w:name w:val="Title"/>
    <w:basedOn w:val="Normal"/>
    <w:next w:val="BodyText"/>
    <w:qFormat/>
    <w:pPr>
      <w:jc w:val="center"/>
      <w:outlineLvl w:val="0"/>
    </w:pPr>
    <w:rPr>
      <w:b/>
      <w:kern w:val="2"/>
      <w:sz w:val="24"/>
    </w:rPr>
  </w:style>
  <w:style w:type="paragraph" w:styleId="TextIndent">
    <w:name w:val="Text Indent"/>
    <w:basedOn w:val="Normal"/>
    <w:qFormat/>
    <w:pPr>
      <w:spacing w:before="0" w:after="120"/>
      <w:ind w:hanging="0" w:start="720" w:end="0"/>
      <w:jc w:val="both"/>
    </w:pPr>
    <w:rPr>
      <w:sz w:val="24"/>
    </w:rPr>
  </w:style>
  <w:style w:type="paragraph" w:styleId="textInent">
    <w:name w:val="text Inent"/>
    <w:basedOn w:val="Normal"/>
    <w:qFormat/>
    <w:pPr>
      <w:spacing w:before="0" w:after="240"/>
      <w:ind w:hanging="0" w:start="360" w:end="0"/>
      <w:jc w:val="both"/>
    </w:pPr>
    <w:rPr>
      <w:sz w:val="24"/>
    </w:rPr>
  </w:style>
  <w:style w:type="paragraph" w:styleId="TextIndent2">
    <w:name w:val="Text Indent 2"/>
    <w:basedOn w:val="Normal"/>
    <w:qFormat/>
    <w:pPr>
      <w:tabs>
        <w:tab w:val="left" w:pos="720" w:leader="none"/>
      </w:tabs>
      <w:ind w:firstLine="2160" w:start="720" w:end="0"/>
      <w:jc w:val="both"/>
    </w:pPr>
    <w:rPr>
      <w:sz w:val="24"/>
    </w:rPr>
  </w:style>
  <w:style w:type="paragraph" w:styleId="Subtitle">
    <w:name w:val="Subtitle"/>
    <w:basedOn w:val="Normal"/>
    <w:next w:val="BodyText"/>
    <w:qFormat/>
    <w:pPr>
      <w:jc w:val="center"/>
    </w:pPr>
    <w:rPr>
      <w:b/>
      <w:sz w:val="24"/>
    </w:rPr>
  </w:style>
  <w:style w:type="paragraph" w:styleId="BodyTextIndent">
    <w:name w:val="Body Text Indent"/>
    <w:basedOn w:val="Normal"/>
    <w:pPr>
      <w:ind w:hanging="720" w:start="720" w:end="0"/>
      <w:jc w:val="both"/>
    </w:pPr>
    <w:rPr>
      <w:sz w:val="24"/>
    </w:rPr>
  </w:style>
  <w:style w:type="paragraph" w:styleId="table">
    <w:name w:val="table"/>
    <w:basedOn w:val="Normal"/>
    <w:qFormat/>
    <w:pPr>
      <w:jc w:val="both"/>
    </w:pPr>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oter" Target="footer2.xm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2</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2000-08-01T15:52:00Z</dcterms:created>
  <dc:creator>carolyn creel</dc:creator>
  <dc:description/>
  <dc:language>en-CA</dc:language>
  <cp:lastModifiedBy>sdaniel</cp:lastModifiedBy>
  <cp:lastPrinted>2000-08-01T12:10:00Z</cp:lastPrinted>
  <dcterms:modified xsi:type="dcterms:W3CDTF">2000-08-01T15:52:00Z</dcterms:modified>
  <cp:revision>2</cp:revision>
  <dc:subject/>
  <dc:title>  LETTER OF UNDERSTANDING</dc:title>
</cp:coreProperties>
</file>