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July 24,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Mr. Robert Hill</w:t>
      </w:r>
    </w:p>
    <w:p>
      <w:pPr>
        <w:pStyle w:val="BodyText"/>
        <w:tabs>
          <w:tab w:val="clear" w:pos="720"/>
          <w:tab w:val="right" w:pos="2160" w:leader="none"/>
        </w:tabs>
        <w:rPr/>
      </w:pPr>
      <w:r>
        <w:rPr/>
        <w:t xml:space="preserve">Northern Border Intermediate </w:t>
      </w:r>
    </w:p>
    <w:p>
      <w:pPr>
        <w:pStyle w:val="BodyText"/>
        <w:tabs>
          <w:tab w:val="clear" w:pos="720"/>
          <w:tab w:val="right" w:pos="2160" w:leader="none"/>
        </w:tabs>
        <w:rPr/>
      </w:pPr>
      <w:r>
        <w:rPr/>
        <w:t xml:space="preserve">    </w:t>
      </w:r>
      <w:r>
        <w:rPr/>
        <w:t>Limited Partnership</w:t>
      </w:r>
    </w:p>
    <w:p>
      <w:pPr>
        <w:pStyle w:val="BodyText"/>
        <w:tabs>
          <w:tab w:val="clear" w:pos="720"/>
          <w:tab w:val="right" w:pos="2160" w:leader="none"/>
        </w:tabs>
        <w:rPr/>
      </w:pPr>
      <w:r>
        <w:rPr/>
        <w:t>1111 South 103rd Street</w:t>
      </w:r>
    </w:p>
    <w:p>
      <w:pPr>
        <w:pStyle w:val="BodyText"/>
        <w:tabs>
          <w:tab w:val="clear" w:pos="720"/>
          <w:tab w:val="right" w:pos="2160" w:leader="none"/>
        </w:tabs>
        <w:rPr/>
      </w:pPr>
      <w:r>
        <w:rPr/>
        <w:t>Omaha, Nebraska  68124-1000</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Bob:</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tabs>
          <w:tab w:val="clear" w:pos="720"/>
          <w:tab w:val="left" w:pos="1440" w:leader="none"/>
        </w:tabs>
        <w:ind w:firstLine="720" w:start="0" w:end="0"/>
        <w:rPr/>
      </w:pPr>
      <w:r>
        <w:rPr>
          <w:i/>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boards of directors of Buyer and Seller, which approvals have not yet been obtained.</w:t>
      </w:r>
    </w:p>
    <w:p>
      <w:pPr>
        <w:pStyle w:val="Heading1"/>
        <w:tabs>
          <w:tab w:val="clear" w:pos="720"/>
          <w:tab w:val="left" w:pos="1440" w:leader="none"/>
        </w:tabs>
        <w:ind w:firstLine="720" w:start="0" w:end="0"/>
        <w:rPr/>
      </w:pPr>
      <w:r>
        <w:rPr>
          <w:i/>
        </w:rPr>
        <w:t>Non-binding Nature</w:t>
      </w:r>
      <w:r>
        <w:rPr/>
        <w:t xml:space="preserve">.  Except as to the confidentiality provisions in Paragraph 3 and the public announcement provisions in Paragraph 4,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July 31,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 xml:space="preserve">NORTHERN BORDER INTERMEDIATE </w:t>
      </w:r>
    </w:p>
    <w:p>
      <w:pPr>
        <w:pStyle w:val="BodyText"/>
        <w:rPr/>
      </w:pPr>
      <w:r>
        <w:rPr/>
        <w:t xml:space="preserve">    </w:t>
      </w:r>
      <w:r>
        <w:rPr/>
        <w:t>LIMITED PARTNERSHIP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Intermediate Limited Partnership,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and</w:t>
            </w:r>
          </w:p>
          <w:p>
            <w:pPr>
              <w:pStyle w:val="Normal"/>
              <w:rPr>
                <w:b/>
                <w:sz w:val="24"/>
              </w:rPr>
            </w:pPr>
            <w:r>
              <w:rPr>
                <w:b/>
                <w:sz w:val="24"/>
              </w:rPr>
              <w:t>Purpose of Buyer:</w:t>
            </w:r>
          </w:p>
        </w:tc>
        <w:tc>
          <w:tcPr>
            <w:tcW w:w="7308" w:type="dxa"/>
            <w:tcBorders/>
          </w:tcPr>
          <w:p>
            <w:pPr>
              <w:pStyle w:val="BodyText"/>
              <w:ind w:firstLine="18" w:start="-18" w:end="0"/>
              <w:rPr/>
            </w:pPr>
            <w:r>
              <w:rPr/>
              <w:t xml:space="preserve">Buyer will be a subsidiary of [Northern Border Partners, L.P.] created to hold the Transferred Membership Interests and to manage and develop the existing assets of the Transferred Entities and develop new opportunities.  Buyer will focus on capital investments and acquisition opportunities to complement the assets owned by the Transferred Entities.  A new entity [a wholly-owned subsidiary of Enron Corp.] will be created to be the commercial originator and operating entity to manage the business of Buyer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ind w:firstLine="18" w:start="-18" w:end="0"/>
              <w:rPr/>
            </w:pPr>
            <w:r>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ind w:firstLine="360" w:start="612" w:end="0"/>
              <w:rPr/>
            </w:pPr>
            <w:r>
              <w:rPr/>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ind w:firstLine="360" w:start="612" w:end="0"/>
              <w:rPr/>
            </w:pPr>
            <w:r>
              <w:rPr/>
            </w:r>
          </w:p>
          <w:p>
            <w:pPr>
              <w:pStyle w:val="Normal"/>
              <w:ind w:firstLine="360" w:start="612" w:end="0"/>
              <w:jc w:val="both"/>
              <w:rPr/>
            </w:pPr>
            <w:r>
              <w:rPr>
                <w:sz w:val="24"/>
              </w:rPr>
              <w:t xml:space="preserve">3.  </w:t>
            </w:r>
            <w:r>
              <w:rPr>
                <w:i/>
                <w:sz w:val="24"/>
              </w:rPr>
              <w:t xml:space="preserve">Enron Midstream Services, L.L.C. </w:t>
            </w:r>
            <w:r>
              <w:rPr>
                <w:sz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 xml:space="preserve">The purchase price for the Transferred Membership Interests will be $205,000,000, subject to adjustment as provided in the Purchase Agreement.  </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the following conditions on or prior to the Closing Date:</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the EMS Gathering Agreement and all other closing documents have been properly executed and delivered by Seller (or its affiliates);</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4"/>
              </w:numPr>
              <w:spacing w:before="0" w:after="240"/>
              <w:ind w:hanging="720" w:start="1339" w:end="0"/>
              <w:jc w:val="both"/>
              <w:rPr>
                <w:sz w:val="24"/>
              </w:rPr>
            </w:pPr>
            <w:r>
              <w:rPr>
                <w:sz w:val="24"/>
              </w:rPr>
              <w:t xml:space="preserve">no action, suit, or proceeding is pending or threatened before any governmental body seeking to restrain or delay the closing; </w:t>
            </w:r>
          </w:p>
          <w:p>
            <w:pPr>
              <w:pStyle w:val="Normal"/>
              <w:numPr>
                <w:ilvl w:val="0"/>
                <w:numId w:val="4"/>
              </w:numPr>
              <w:spacing w:before="0" w:after="240"/>
              <w:ind w:hanging="720" w:start="1339" w:end="0"/>
              <w:jc w:val="both"/>
              <w:rPr>
                <w:sz w:val="24"/>
              </w:rPr>
            </w:pPr>
            <w:r>
              <w:rPr>
                <w:sz w:val="24"/>
              </w:rPr>
              <w:t xml:space="preserve">Seller shall have caused Lost Creek and Fort Union to each make an election under Section 754 of the Internal Revenue Code; and </w:t>
            </w:r>
          </w:p>
          <w:p>
            <w:pPr>
              <w:pStyle w:val="Normal"/>
              <w:numPr>
                <w:ilvl w:val="0"/>
                <w:numId w:val="4"/>
              </w:numPr>
              <w:ind w:hanging="720" w:start="1339" w:end="0"/>
              <w:jc w:val="both"/>
              <w:rPr>
                <w:sz w:val="24"/>
              </w:rPr>
            </w:pPr>
            <w:r>
              <w:rPr>
                <w:sz w:val="24"/>
              </w:rPr>
              <w:t>Buyer shall have received a fairness opinion from ______ to the effect that, as of the date of such opinion, the transactions contemplated by the Purchase Agreement are fair, from a financial point of view, to Buyer.</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the following conditions on or prior to the Closing Date:</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the Management Agreement and the EMS Gathering Agreement and 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Employee Matters:</w:t>
            </w:r>
          </w:p>
        </w:tc>
        <w:tc>
          <w:tcPr>
            <w:tcW w:w="7308" w:type="dxa"/>
            <w:tcBorders/>
          </w:tcPr>
          <w:p>
            <w:pPr>
              <w:pStyle w:val="Normal"/>
              <w:spacing w:before="0" w:after="240"/>
              <w:jc w:val="both"/>
              <w:rPr/>
            </w:pPr>
            <w:r>
              <w:rPr>
                <w:i/>
                <w:sz w:val="24"/>
              </w:rPr>
              <w:t xml:space="preserve">Management Company.  </w:t>
            </w:r>
            <w:r>
              <w:rPr>
                <w:sz w:val="24"/>
              </w:rPr>
              <w:t>Buyer shall enter into a “Management Agreement” with the Management Company with a minimum annual fee of $2,500,000, a term of five (5) years, and such other terms and conditions that the Management Company and Buyer may agree to.</w:t>
            </w:r>
          </w:p>
          <w:p>
            <w:pPr>
              <w:pStyle w:val="Normal"/>
              <w:spacing w:before="0" w:after="240"/>
              <w:jc w:val="both"/>
              <w:rPr/>
            </w:pPr>
            <w:r>
              <w:rPr>
                <w:i/>
                <w:sz w:val="24"/>
              </w:rPr>
              <w:t>Employment</w:t>
            </w:r>
            <w:r>
              <w:rPr>
                <w:sz w:val="24"/>
              </w:rPr>
              <w:t>.  The Management Company/Buyer will make offers of employment to designated employees of Seller no later than 5:00 p.m. on August 1, 2000, with such employees required to accept or reject such offers by 5:00 p.m. on August 4, 2000.  The offer of employment by the Management Company/Buyer will be at no less than 100% of the employee’s current base salary on the Closing Date (including the incentive structure described below and a lump sum payment in lieu of any calendar year 2000 performance bonus for such employee’s employment with Seller),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spacing w:before="0" w:after="240"/>
              <w:jc w:val="both"/>
              <w:rPr/>
            </w:pPr>
            <w:r>
              <w:rPr>
                <w:i/>
                <w:sz w:val="24"/>
              </w:rPr>
              <w:t>Employee Benefit Plans</w:t>
            </w:r>
            <w:r>
              <w:rPr>
                <w:sz w:val="24"/>
              </w:rPr>
              <w:t>.  The Management Company/Buyer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sz w:val="24"/>
              </w:rPr>
              <w:t>Organization Chart</w:t>
            </w:r>
            <w:r>
              <w:rPr>
                <w:sz w:val="24"/>
              </w:rPr>
              <w:t xml:space="preserve">.  The initial organization chart for the Management Company/Buyer is attached as </w:t>
            </w:r>
            <w:r>
              <w:rPr>
                <w:i/>
                <w:sz w:val="24"/>
              </w:rPr>
              <w:t>Attachment 2</w:t>
            </w:r>
            <w:r>
              <w:rPr>
                <w:sz w:val="24"/>
              </w:rPr>
              <w:t xml:space="preserve">.  </w:t>
            </w:r>
          </w:p>
          <w:p>
            <w:pPr>
              <w:pStyle w:val="Normal"/>
              <w:jc w:val="both"/>
              <w:rPr/>
            </w:pPr>
            <w:r>
              <w:rPr>
                <w:i/>
                <w:sz w:val="24"/>
              </w:rPr>
              <w:t>Incentive Structure</w:t>
            </w:r>
            <w:r>
              <w:rPr>
                <w:sz w:val="24"/>
              </w:rPr>
              <w:t xml:space="preserve">.  The Management Company/Buyer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spacing w:before="0" w:after="240"/>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all losses actually suffered by Buyer exceeds 3% of the Purchase Price.  Seller’s aggregate liability to Buyer for indemnity above or otherwise in connection with the Transferred Membership Interests or the Transferred Entities or the transactions contemplated by the Purchase Agreement will not exceed 25% of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pPr>
            <w:r>
              <w:rPr>
                <w:i/>
                <w:sz w:val="24"/>
              </w:rPr>
              <w:t xml:space="preserve">Specified Geographical Area.  </w:t>
            </w:r>
            <w:r>
              <w:rPr>
                <w:sz w:val="24"/>
              </w:rPr>
              <w:t xml:space="preserve">The Purchase Agreement will include provisions granting Buyer and Seller certain participation rights in the Specified Geographical Area.  “Specified Geographical Area” means the defined areas of mutual interest for Fort Union and Bighorn and a to be designated area surrounding Lost Creek. </w:t>
            </w:r>
          </w:p>
          <w:p>
            <w:pPr>
              <w:pStyle w:val="Normal"/>
              <w:jc w:val="both"/>
              <w:rPr>
                <w:sz w:val="24"/>
              </w:rPr>
            </w:pPr>
            <w:r>
              <w:rPr>
                <w:sz w:val="24"/>
              </w:rPr>
            </w:r>
          </w:p>
          <w:p>
            <w:pPr>
              <w:pStyle w:val="Normal"/>
              <w:jc w:val="both"/>
              <w:rPr/>
            </w:pPr>
            <w:r>
              <w:rPr>
                <w:i/>
                <w:sz w:val="24"/>
              </w:rPr>
              <w:t>Buyer’s Rights</w:t>
            </w:r>
            <w:r>
              <w:rPr>
                <w:sz w:val="24"/>
              </w:rPr>
              <w:t xml:space="preserve">.  If Seller or any of its wholly-owned subsidiaries  proposes to develop or acquire an interest in, directly or indirectly, a non federally regulated gas gathering system in the Specified Geographical Area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producer finance transaction shall be excluded from this provision. </w:t>
            </w:r>
          </w:p>
          <w:p>
            <w:pPr>
              <w:pStyle w:val="Normal"/>
              <w:jc w:val="both"/>
              <w:rPr>
                <w:sz w:val="24"/>
              </w:rPr>
            </w:pPr>
            <w:r>
              <w:rPr>
                <w:sz w:val="24"/>
              </w:rPr>
            </w:r>
          </w:p>
          <w:p>
            <w:pPr>
              <w:pStyle w:val="Normal"/>
              <w:jc w:val="both"/>
              <w:rPr/>
            </w:pPr>
            <w:r>
              <w:rPr>
                <w:i/>
                <w:sz w:val="24"/>
              </w:rPr>
              <w:t>Seller’s Rights</w:t>
            </w:r>
            <w:r>
              <w:rPr>
                <w:sz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related to the Specified Project, including access to gathering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jc w:val="both"/>
              <w:rPr>
                <w:sz w:val="24"/>
              </w:rPr>
            </w:pPr>
            <w:r>
              <w:rPr>
                <w:sz w:val="24"/>
              </w:rPr>
            </w:r>
          </w:p>
          <w:p>
            <w:pPr>
              <w:pStyle w:val="Normal"/>
              <w:jc w:val="both"/>
              <w:rPr/>
            </w:pPr>
            <w:r>
              <w:rPr>
                <w:i/>
                <w:sz w:val="24"/>
              </w:rPr>
              <w:t>Term</w:t>
            </w:r>
            <w:r>
              <w:rPr>
                <w:sz w:val="24"/>
              </w:rPr>
              <w:t xml:space="preserve">.  The participation rights created hereunder shall terminate on the last day of the 12th month following the Closing Date.  </w:t>
            </w:r>
          </w:p>
          <w:p>
            <w:pPr>
              <w:pStyle w:val="Normal"/>
              <w:jc w:val="both"/>
              <w:rPr>
                <w:sz w:val="24"/>
              </w:rPr>
            </w:pPr>
            <w:r>
              <w:rPr>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Texas.</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r>
        <w:br w:type="page"/>
      </w:r>
    </w:p>
    <w:p>
      <w:pPr>
        <w:pStyle w:val="BodyText"/>
        <w:jc w:val="center"/>
        <w:rPr>
          <w:b/>
        </w:rPr>
      </w:pPr>
      <w:r>
        <w:rPr>
          <w:b/>
        </w:rPr>
      </w:r>
    </w:p>
    <w:p>
      <w:pPr>
        <w:pStyle w:val="Title"/>
        <w:rPr/>
      </w:pPr>
      <w:r>
        <w:rPr/>
        <w:t>Attachment 2</w:t>
      </w:r>
    </w:p>
    <w:p>
      <w:pPr>
        <w:pStyle w:val="Title"/>
        <w:rPr/>
      </w:pPr>
      <w:r>
        <w:rPr/>
      </w:r>
    </w:p>
    <w:p>
      <w:pPr>
        <w:pStyle w:val="Title"/>
        <w:rPr/>
      </w:pPr>
      <w:r>
        <w:rPr/>
        <w:t>INITIAL ORGANIZATION CHART</w:t>
      </w:r>
    </w:p>
    <w:p>
      <w:pPr>
        <w:pStyle w:val="Title"/>
        <w:rPr/>
      </w:pPr>
      <w:r>
        <w:rPr/>
      </w:r>
    </w:p>
    <w:p>
      <w:pPr>
        <w:pStyle w:val="Title"/>
        <w:rPr/>
      </w:pPr>
      <w:r>
        <w:rPr/>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560942.5</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11</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560942.5</w:t>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firstLine="72"/>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2000-07-24T19:23:00Z</dcterms:created>
  <dc:creator>carolyn creel</dc:creator>
  <dc:description/>
  <dc:language>en-CA</dc:language>
  <cp:lastModifiedBy>sdaniel</cp:lastModifiedBy>
  <cp:lastPrinted>2000-07-24T16:53:00Z</cp:lastPrinted>
  <dcterms:modified xsi:type="dcterms:W3CDTF">2000-07-24T19:33:00Z</dcterms:modified>
  <cp:revision>3</cp:revision>
  <dc:subject/>
  <dc:title>  LETTER OF UNDERSTANDING</dc:title>
</cp:coreProperties>
</file>