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a13Date"/>
      <w:bookmarkStart w:id="1" w:name="a13Date"/>
    </w:p>
    <w:p>
      <w:pPr>
        <w:pStyle w:val="Normal"/>
        <w:rPr/>
      </w:pPr>
      <w:r>
        <w:rPr/>
      </w:r>
    </w:p>
    <w:p>
      <w:pPr>
        <w:pStyle w:val="Normal"/>
        <w:rPr/>
      </w:pPr>
      <w:r>
        <w:rPr/>
      </w:r>
    </w:p>
    <w:p>
      <w:pPr>
        <w:pStyle w:val="Normal"/>
        <w:rPr/>
      </w:pPr>
      <w:r>
        <w:rPr/>
      </w:r>
    </w:p>
    <w:p>
      <w:pPr>
        <w:pStyle w:val="Normal"/>
        <w:rPr/>
      </w:pPr>
      <w:bookmarkStart w:id="2" w:name="a13Date"/>
      <w:r>
        <w:rPr/>
        <w:t>February 21, 200</w:t>
      </w:r>
      <w:bookmarkEnd w:id="2"/>
      <w:r>
        <w:rPr/>
        <w:t>1</w:t>
      </w:r>
    </w:p>
    <w:p>
      <w:pPr>
        <w:pStyle w:val="Normal"/>
        <w:rPr/>
      </w:pPr>
      <w:r>
        <w:rPr/>
      </w:r>
    </w:p>
    <w:p>
      <w:pPr>
        <w:pStyle w:val="Normal"/>
        <w:rPr/>
      </w:pPr>
      <w:r>
        <w:rPr/>
      </w:r>
    </w:p>
    <w:p>
      <w:pPr>
        <w:pStyle w:val="Normal"/>
        <w:rPr/>
      </w:pPr>
      <w:bookmarkStart w:id="3" w:name="a10To"/>
      <w:r>
        <w:rPr/>
        <w:t>Mr</w:t>
      </w:r>
      <w:bookmarkEnd w:id="3"/>
      <w:r>
        <w:rPr/>
        <w:t>. Harry Arora, CFA</w:t>
      </w:r>
    </w:p>
    <w:p>
      <w:pPr>
        <w:pStyle w:val="Normal"/>
        <w:rPr/>
      </w:pPr>
      <w:r>
        <w:rPr/>
        <w:t>Vice President - Ecommerce</w:t>
      </w:r>
    </w:p>
    <w:p>
      <w:pPr>
        <w:pStyle w:val="Footer"/>
        <w:spacing w:lineRule="atLeast" w:line="290"/>
        <w:rPr/>
      </w:pPr>
      <w:bookmarkStart w:id="4" w:name="a29Address"/>
      <w:bookmarkEnd w:id="4"/>
      <w:r>
        <w:rPr/>
        <w:t>Enron Corporation</w:t>
      </w:r>
    </w:p>
    <w:p>
      <w:pPr>
        <w:pStyle w:val="Normal"/>
        <w:rPr/>
      </w:pPr>
      <w:r>
        <w:rPr/>
        <w:t xml:space="preserve">1400 Smith Street </w:t>
      </w:r>
    </w:p>
    <w:p>
      <w:pPr>
        <w:pStyle w:val="Normal"/>
        <w:rPr/>
      </w:pPr>
      <w:r>
        <w:rPr/>
        <w:t>Houston, TX  77002-7361</w:t>
      </w:r>
    </w:p>
    <w:p>
      <w:pPr>
        <w:pStyle w:val="Normal"/>
        <w:rPr/>
      </w:pPr>
      <w:r>
        <w:rPr/>
      </w:r>
    </w:p>
    <w:p>
      <w:pPr>
        <w:pStyle w:val="Normal"/>
        <w:rPr/>
      </w:pPr>
      <w:r>
        <w:rPr/>
      </w:r>
    </w:p>
    <w:p>
      <w:pPr>
        <w:pStyle w:val="Subject"/>
        <w:pBdr>
          <w:top w:val="single" w:sz="4" w:space="1" w:color="000000"/>
          <w:left w:val="single" w:sz="4" w:space="4" w:color="000000"/>
          <w:bottom w:val="single" w:sz="4" w:space="1" w:color="000000"/>
          <w:right w:val="single" w:sz="4" w:space="4" w:color="000000"/>
        </w:pBdr>
        <w:jc w:val="center"/>
        <w:rPr>
          <w:sz w:val="22"/>
        </w:rPr>
      </w:pPr>
      <w:bookmarkStart w:id="5" w:name="a30Ref"/>
      <w:bookmarkEnd w:id="5"/>
      <w:r>
        <w:rPr>
          <w:sz w:val="22"/>
        </w:rPr>
        <w:t>Response to EnronOnline Trade Support Server Opportunity</w:t>
      </w:r>
    </w:p>
    <w:p>
      <w:pPr>
        <w:pStyle w:val="Normal"/>
        <w:rPr/>
      </w:pPr>
      <w:r>
        <w:rPr/>
      </w:r>
    </w:p>
    <w:p>
      <w:pPr>
        <w:pStyle w:val="Normal"/>
        <w:rPr/>
      </w:pPr>
      <w:r>
        <w:rPr/>
        <w:t xml:space="preserve">Dear Harry, </w:t>
      </w:r>
    </w:p>
    <w:p>
      <w:pPr>
        <w:pStyle w:val="Normal"/>
        <w:rPr/>
      </w:pPr>
      <w:r>
        <w:rPr/>
      </w:r>
    </w:p>
    <w:p>
      <w:pPr>
        <w:pStyle w:val="Normal"/>
        <w:rPr/>
      </w:pPr>
      <w:r>
        <w:rPr/>
        <w:t>PricewaterhouseCoopers (PwC) appreciates the opportunity to work with Enron with respect to the EnronOnline (EOL) Trade Server Support opportunity that was presented by your team last week. We are interested in this opportunity for several reasons:</w:t>
      </w:r>
    </w:p>
    <w:p>
      <w:pPr>
        <w:pStyle w:val="Normal"/>
        <w:numPr>
          <w:ilvl w:val="0"/>
          <w:numId w:val="5"/>
        </w:numPr>
        <w:tabs>
          <w:tab w:val="clear" w:pos="357"/>
          <w:tab w:val="left" w:pos="720" w:leader="none"/>
        </w:tabs>
        <w:ind w:hanging="360" w:start="720" w:end="0"/>
        <w:rPr/>
      </w:pPr>
      <w:r>
        <w:rPr/>
        <w:t>There would be a natural fit between our companies strengths,</w:t>
      </w:r>
    </w:p>
    <w:p>
      <w:pPr>
        <w:pStyle w:val="Normal"/>
        <w:numPr>
          <w:ilvl w:val="0"/>
          <w:numId w:val="5"/>
        </w:numPr>
        <w:tabs>
          <w:tab w:val="clear" w:pos="357"/>
          <w:tab w:val="left" w:pos="720" w:leader="none"/>
        </w:tabs>
        <w:ind w:hanging="360" w:start="720" w:end="0"/>
        <w:rPr/>
      </w:pPr>
      <w:r>
        <w:rPr/>
        <w:t>This would create a natural extension of our e-Markets business,</w:t>
      </w:r>
    </w:p>
    <w:p>
      <w:pPr>
        <w:pStyle w:val="Normal"/>
        <w:numPr>
          <w:ilvl w:val="0"/>
          <w:numId w:val="5"/>
        </w:numPr>
        <w:tabs>
          <w:tab w:val="clear" w:pos="357"/>
          <w:tab w:val="left" w:pos="720" w:leader="none"/>
        </w:tabs>
        <w:ind w:hanging="360" w:start="720" w:end="0"/>
        <w:rPr/>
      </w:pPr>
      <w:r>
        <w:rPr/>
        <w:t>This would provide an excellent opportunity to strengthen the relationship between Enron and PwC.</w:t>
      </w:r>
    </w:p>
    <w:p>
      <w:pPr>
        <w:pStyle w:val="Normal"/>
        <w:rPr/>
      </w:pPr>
      <w:r>
        <w:rPr/>
      </w:r>
    </w:p>
    <w:p>
      <w:pPr>
        <w:pStyle w:val="Footer"/>
        <w:spacing w:lineRule="atLeast" w:line="290"/>
        <w:rPr/>
      </w:pPr>
      <w:r>
        <w:rPr/>
        <w:t>The PwC strengths that would be leveraged by this effort include:</w:t>
      </w:r>
    </w:p>
    <w:p>
      <w:pPr>
        <w:pStyle w:val="Footer"/>
        <w:numPr>
          <w:ilvl w:val="0"/>
          <w:numId w:val="2"/>
        </w:numPr>
        <w:tabs>
          <w:tab w:val="clear" w:pos="357"/>
          <w:tab w:val="left" w:pos="717" w:leader="none"/>
        </w:tabs>
        <w:spacing w:lineRule="atLeast" w:line="290"/>
        <w:ind w:hanging="360" w:start="717" w:end="0"/>
        <w:rPr/>
      </w:pPr>
      <w:r>
        <w:rPr/>
        <w:t>PwC brings a wide variety of experience and relationships in e-Markets (Note: PwC is involved in more than 50% of the current e-Market initiatives across all industries)</w:t>
      </w:r>
    </w:p>
    <w:p>
      <w:pPr>
        <w:pStyle w:val="Footer"/>
        <w:numPr>
          <w:ilvl w:val="0"/>
          <w:numId w:val="2"/>
        </w:numPr>
        <w:tabs>
          <w:tab w:val="clear" w:pos="357"/>
          <w:tab w:val="left" w:pos="717" w:leader="none"/>
        </w:tabs>
        <w:spacing w:lineRule="atLeast" w:line="290"/>
        <w:ind w:hanging="360" w:start="717" w:end="0"/>
        <w:rPr/>
      </w:pPr>
      <w:r>
        <w:rPr/>
        <w:t>PwC brings significant working relationships with the largest e-Markets vendors, (i.e. C1, Ariba, i2, Broadvision, Siebel, etc.)</w:t>
      </w:r>
    </w:p>
    <w:p>
      <w:pPr>
        <w:pStyle w:val="Footer"/>
        <w:numPr>
          <w:ilvl w:val="0"/>
          <w:numId w:val="2"/>
        </w:numPr>
        <w:tabs>
          <w:tab w:val="clear" w:pos="357"/>
          <w:tab w:val="left" w:pos="717" w:leader="none"/>
        </w:tabs>
        <w:spacing w:lineRule="atLeast" w:line="290"/>
        <w:ind w:hanging="360" w:start="717" w:end="0"/>
        <w:rPr/>
      </w:pPr>
      <w:r>
        <w:rPr/>
        <w:t>PwC brings the largest global services organization to the table, over 35,000 systems integration consultants</w:t>
      </w:r>
    </w:p>
    <w:p>
      <w:pPr>
        <w:pStyle w:val="Footer"/>
        <w:numPr>
          <w:ilvl w:val="0"/>
          <w:numId w:val="2"/>
        </w:numPr>
        <w:tabs>
          <w:tab w:val="clear" w:pos="357"/>
          <w:tab w:val="left" w:pos="717" w:leader="none"/>
        </w:tabs>
        <w:spacing w:lineRule="atLeast" w:line="290"/>
        <w:ind w:hanging="360" w:start="717" w:end="0"/>
        <w:rPr/>
      </w:pPr>
      <w:r>
        <w:rPr/>
        <w:t>PwC brings a strong well respected brand name to the table</w:t>
      </w:r>
    </w:p>
    <w:p>
      <w:pPr>
        <w:pStyle w:val="Footer"/>
        <w:spacing w:lineRule="atLeast" w:line="290"/>
        <w:rPr/>
      </w:pPr>
      <w:r>
        <w:rPr/>
      </w:r>
    </w:p>
    <w:p>
      <w:pPr>
        <w:pStyle w:val="Footer"/>
        <w:spacing w:lineRule="atLeast" w:line="290"/>
        <w:rPr/>
      </w:pPr>
      <w:r>
        <w:rPr/>
        <w:t>These strengths are matched with several key strengths that Enron brings:</w:t>
      </w:r>
    </w:p>
    <w:p>
      <w:pPr>
        <w:pStyle w:val="Footer"/>
        <w:numPr>
          <w:ilvl w:val="0"/>
          <w:numId w:val="6"/>
        </w:numPr>
        <w:tabs>
          <w:tab w:val="clear" w:pos="357"/>
          <w:tab w:val="left" w:pos="717" w:leader="none"/>
        </w:tabs>
        <w:spacing w:lineRule="atLeast" w:line="290"/>
        <w:ind w:hanging="360" w:start="717" w:end="0"/>
        <w:rPr/>
      </w:pPr>
      <w:r>
        <w:rPr/>
        <w:t>The largest e-Market in the world (EOL transacted $339 Billion in 2000)</w:t>
      </w:r>
    </w:p>
    <w:p>
      <w:pPr>
        <w:pStyle w:val="Footer"/>
        <w:numPr>
          <w:ilvl w:val="0"/>
          <w:numId w:val="6"/>
        </w:numPr>
        <w:tabs>
          <w:tab w:val="clear" w:pos="357"/>
          <w:tab w:val="left" w:pos="717" w:leader="none"/>
        </w:tabs>
        <w:spacing w:lineRule="atLeast" w:line="290"/>
        <w:ind w:hanging="360" w:start="717" w:end="0"/>
        <w:rPr/>
      </w:pPr>
      <w:r>
        <w:rPr/>
        <w:t>Entrepreneurial and innovative staff (Forbes Most Innovative Company for 6 years in a row)</w:t>
      </w:r>
    </w:p>
    <w:p>
      <w:pPr>
        <w:pStyle w:val="Footer"/>
        <w:numPr>
          <w:ilvl w:val="0"/>
          <w:numId w:val="6"/>
        </w:numPr>
        <w:tabs>
          <w:tab w:val="clear" w:pos="357"/>
          <w:tab w:val="left" w:pos="717" w:leader="none"/>
        </w:tabs>
        <w:spacing w:lineRule="atLeast" w:line="290"/>
        <w:ind w:hanging="360" w:start="717" w:end="0"/>
        <w:rPr/>
      </w:pPr>
      <w:r>
        <w:rPr/>
        <w:t>Significant presence in many e-Markets today, (i.e. natural gas, power, metals, etc.)</w:t>
      </w:r>
    </w:p>
    <w:p>
      <w:pPr>
        <w:pStyle w:val="Footer"/>
        <w:numPr>
          <w:ilvl w:val="0"/>
          <w:numId w:val="6"/>
        </w:numPr>
        <w:tabs>
          <w:tab w:val="clear" w:pos="357"/>
          <w:tab w:val="left" w:pos="717" w:leader="none"/>
        </w:tabs>
        <w:spacing w:lineRule="atLeast" w:line="290"/>
        <w:ind w:hanging="360" w:start="717" w:end="0"/>
        <w:rPr/>
      </w:pPr>
      <w:r>
        <w:rPr/>
        <w:t>Software to support EOL</w:t>
      </w:r>
    </w:p>
    <w:p>
      <w:pPr>
        <w:pStyle w:val="Footer"/>
        <w:spacing w:lineRule="atLeast" w:line="290"/>
        <w:rPr/>
      </w:pPr>
      <w:r>
        <w:rPr/>
      </w:r>
    </w:p>
    <w:p>
      <w:pPr>
        <w:pStyle w:val="Footer"/>
        <w:spacing w:lineRule="atLeast" w:line="290"/>
        <w:rPr/>
      </w:pPr>
      <w:r>
        <w:rPr/>
        <w:t>As we discussed the other day, there are multiple ways that TSS could approach the market. There are also multiple directions that the services offered by TSS could evolve in the market depending upon the goals and strategy developed by Enron and its partner(s). The scope and direction of the strategy pursued by Enron would have an impact on the scope of involvement PwC would have in this effort. Recognizing that the scope and strategy are still being developed, PwC would be interested in having additional discussions with Enron using the following talking points:</w:t>
      </w:r>
    </w:p>
    <w:p>
      <w:pPr>
        <w:pStyle w:val="Footer"/>
        <w:numPr>
          <w:ilvl w:val="0"/>
          <w:numId w:val="10"/>
        </w:numPr>
        <w:tabs>
          <w:tab w:val="clear" w:pos="357"/>
          <w:tab w:val="left" w:pos="717" w:leader="none"/>
        </w:tabs>
        <w:spacing w:lineRule="atLeast" w:line="290"/>
        <w:ind w:hanging="360" w:start="717" w:end="0"/>
        <w:rPr/>
      </w:pPr>
      <w:r>
        <w:rPr/>
        <w:t>PwC would pay an initial fee, which is to be determined, to Enron to participate in this effort, and would pay additional fees to Enron for each customer that PwC performs the systems integration effort to connect to the TSS service</w:t>
      </w:r>
    </w:p>
    <w:p>
      <w:pPr>
        <w:pStyle w:val="Footer"/>
        <w:numPr>
          <w:ilvl w:val="0"/>
          <w:numId w:val="10"/>
        </w:numPr>
        <w:tabs>
          <w:tab w:val="clear" w:pos="357"/>
          <w:tab w:val="left" w:pos="717" w:leader="none"/>
        </w:tabs>
        <w:spacing w:lineRule="atLeast" w:line="290"/>
        <w:ind w:hanging="360" w:start="717" w:end="0"/>
        <w:rPr/>
      </w:pPr>
      <w:r>
        <w:rPr/>
        <w:t>PwC will contract directly with TSS customers to provide strategy development, business and technical consulting, and systems integration efforts</w:t>
      </w:r>
    </w:p>
    <w:p>
      <w:pPr>
        <w:pStyle w:val="Footer"/>
        <w:numPr>
          <w:ilvl w:val="0"/>
          <w:numId w:val="10"/>
        </w:numPr>
        <w:tabs>
          <w:tab w:val="clear" w:pos="357"/>
          <w:tab w:val="left" w:pos="717" w:leader="none"/>
        </w:tabs>
        <w:spacing w:lineRule="atLeast" w:line="290"/>
        <w:ind w:hanging="360" w:start="717" w:end="0"/>
        <w:rPr/>
      </w:pPr>
      <w:r>
        <w:rPr/>
        <w:t>PwC would consider developing an ASP hosting environment for TSS given the recognition of customer interest for this service</w:t>
      </w:r>
    </w:p>
    <w:p>
      <w:pPr>
        <w:pStyle w:val="Footer"/>
        <w:numPr>
          <w:ilvl w:val="0"/>
          <w:numId w:val="10"/>
        </w:numPr>
        <w:tabs>
          <w:tab w:val="clear" w:pos="357"/>
          <w:tab w:val="left" w:pos="717" w:leader="none"/>
        </w:tabs>
        <w:spacing w:lineRule="atLeast" w:line="290"/>
        <w:ind w:hanging="360" w:start="717" w:end="0"/>
        <w:rPr/>
      </w:pPr>
      <w:r>
        <w:rPr/>
        <w:t>It is assumed that Enron staff are developing and supporting the TSS software on an on-going basis, and providing the help desk support for the service</w:t>
      </w:r>
    </w:p>
    <w:p>
      <w:pPr>
        <w:pStyle w:val="Footer"/>
        <w:numPr>
          <w:ilvl w:val="0"/>
          <w:numId w:val="10"/>
        </w:numPr>
        <w:tabs>
          <w:tab w:val="clear" w:pos="357"/>
          <w:tab w:val="left" w:pos="717" w:leader="none"/>
        </w:tabs>
        <w:spacing w:lineRule="atLeast" w:line="290"/>
        <w:ind w:hanging="360" w:start="717" w:end="0"/>
        <w:rPr/>
      </w:pPr>
      <w:r>
        <w:rPr/>
        <w:t>Its is assumed that Enron would develop the strategy and support for tracking and collecting any on-going fees from TSS customers. PwC is willing to assume the role of collecting these on-going fees if there is a mechanism to offset any administrative costs required for this support</w:t>
      </w:r>
    </w:p>
    <w:p>
      <w:pPr>
        <w:pStyle w:val="Footer"/>
        <w:spacing w:lineRule="atLeast" w:line="290"/>
        <w:rPr/>
      </w:pPr>
      <w:r>
        <w:rPr/>
      </w:r>
    </w:p>
    <w:p>
      <w:pPr>
        <w:pStyle w:val="Footer"/>
        <w:spacing w:lineRule="atLeast" w:line="290"/>
        <w:rPr/>
      </w:pPr>
      <w:r>
        <w:rPr/>
        <w:t>PwC is very interested in talking with Enron about the potential of expanding on the scope currently presented in the TSS document. It is our belief that there would be market receptivity to a broader “Central Exchange HUB” which would build upon the ideas presented in the TSS discussion. This broader offering would include the following aspects:</w:t>
      </w:r>
    </w:p>
    <w:p>
      <w:pPr>
        <w:pStyle w:val="Footer"/>
        <w:numPr>
          <w:ilvl w:val="0"/>
          <w:numId w:val="12"/>
        </w:numPr>
        <w:tabs>
          <w:tab w:val="clear" w:pos="357"/>
          <w:tab w:val="left" w:pos="717" w:leader="none"/>
        </w:tabs>
        <w:spacing w:lineRule="atLeast" w:line="290"/>
        <w:ind w:hanging="360" w:start="717" w:end="0"/>
        <w:rPr/>
      </w:pPr>
      <w:r>
        <w:rPr/>
        <w:t>All, or as many as possible, of the current e-Market trading systems would be involved with the HUB</w:t>
      </w:r>
    </w:p>
    <w:p>
      <w:pPr>
        <w:pStyle w:val="Footer"/>
        <w:numPr>
          <w:ilvl w:val="0"/>
          <w:numId w:val="12"/>
        </w:numPr>
        <w:tabs>
          <w:tab w:val="clear" w:pos="357"/>
          <w:tab w:val="left" w:pos="717" w:leader="none"/>
        </w:tabs>
        <w:spacing w:lineRule="atLeast" w:line="290"/>
        <w:ind w:hanging="360" w:start="717" w:end="0"/>
        <w:rPr/>
      </w:pPr>
      <w:r>
        <w:rPr/>
        <w:t>Information transferred between trading parties would occur from all participants, to all participants</w:t>
      </w:r>
    </w:p>
    <w:p>
      <w:pPr>
        <w:pStyle w:val="Footer"/>
        <w:numPr>
          <w:ilvl w:val="0"/>
          <w:numId w:val="12"/>
        </w:numPr>
        <w:tabs>
          <w:tab w:val="clear" w:pos="357"/>
          <w:tab w:val="left" w:pos="717" w:leader="none"/>
        </w:tabs>
        <w:spacing w:lineRule="atLeast" w:line="290"/>
        <w:ind w:hanging="360" w:start="717" w:end="0"/>
        <w:rPr/>
      </w:pPr>
      <w:r>
        <w:rPr/>
        <w:t>The HUB would be developed and operated by an independent, objective third party, PwC</w:t>
      </w:r>
    </w:p>
    <w:p>
      <w:pPr>
        <w:pStyle w:val="Footer"/>
        <w:numPr>
          <w:ilvl w:val="0"/>
          <w:numId w:val="12"/>
        </w:numPr>
        <w:tabs>
          <w:tab w:val="clear" w:pos="357"/>
          <w:tab w:val="left" w:pos="717" w:leader="none"/>
        </w:tabs>
        <w:spacing w:lineRule="atLeast" w:line="290"/>
        <w:ind w:hanging="360" w:start="717" w:end="0"/>
        <w:rPr/>
      </w:pPr>
      <w:r>
        <w:rPr/>
        <w:t>Standards for data structure and operation would also be established and enforced by an independent, objective third party, PwC</w:t>
      </w:r>
    </w:p>
    <w:p>
      <w:pPr>
        <w:pStyle w:val="Footer"/>
        <w:numPr>
          <w:ilvl w:val="0"/>
          <w:numId w:val="12"/>
        </w:numPr>
        <w:tabs>
          <w:tab w:val="clear" w:pos="357"/>
          <w:tab w:val="left" w:pos="717" w:leader="none"/>
        </w:tabs>
        <w:spacing w:lineRule="atLeast" w:line="290"/>
        <w:ind w:hanging="360" w:start="717" w:end="0"/>
        <w:rPr/>
      </w:pPr>
      <w:r>
        <w:rPr/>
        <w:t>The additional services that could be attached to this HUB would be almost limitless</w:t>
      </w:r>
    </w:p>
    <w:p>
      <w:pPr>
        <w:pStyle w:val="Footer"/>
        <w:numPr>
          <w:ilvl w:val="0"/>
          <w:numId w:val="12"/>
        </w:numPr>
        <w:tabs>
          <w:tab w:val="clear" w:pos="357"/>
          <w:tab w:val="left" w:pos="717" w:leader="none"/>
        </w:tabs>
        <w:spacing w:lineRule="atLeast" w:line="290"/>
        <w:ind w:hanging="360" w:start="717" w:end="0"/>
        <w:rPr/>
      </w:pPr>
      <w:r>
        <w:rPr/>
        <w:t>The marketplace and participants would be global in nature, and the systems operator would be required to support a global operation</w:t>
      </w:r>
    </w:p>
    <w:p>
      <w:pPr>
        <w:pStyle w:val="Footer"/>
        <w:spacing w:lineRule="atLeast" w:line="290"/>
        <w:rPr/>
      </w:pPr>
      <w:r>
        <w:rPr/>
      </w:r>
    </w:p>
    <w:p>
      <w:pPr>
        <w:pStyle w:val="Footer"/>
        <w:spacing w:lineRule="atLeast" w:line="290"/>
        <w:rPr/>
      </w:pPr>
      <w:r>
        <w:rPr/>
        <w:t>If Enron is interested in pursuing discussions along the lines of a Central Exchange HUB, then the interest level on the part of PwC would be elevated. It should be recognized that there may be several steps and phases required to reach this vision, and it would not be reasonable to assume it would be reached in day-one. However, the strategy and vision will play a big role in the direction and scope of the opportunity. It is important to set the right vision for the marketplace and the key players required to make this vision a reality.</w:t>
      </w:r>
    </w:p>
    <w:sectPr>
      <w:headerReference w:type="default" r:id="rId2"/>
      <w:headerReference w:type="first" r:id="rId3"/>
      <w:footerReference w:type="default" r:id="rId4"/>
      <w:footerReference w:type="first" r:id="rId5"/>
      <w:type w:val="nextPage"/>
      <w:pgSz w:w="12240" w:h="15840"/>
      <w:pgMar w:left="1699" w:right="1411" w:gutter="0" w:header="1440" w:top="1800" w:footer="562" w:bottom="169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PricewaterhouseCoopers Private and Confidential</w:t>
    </w:r>
    <w:r>
      <w:rPr/>
      <w:tab/>
      <w:tab/>
      <w:tab/>
      <w:tab/>
      <w:tab/>
      <w:tab/>
      <w:tab/>
      <w:tab/>
      <w:tab/>
      <w:tab/>
      <w:tab/>
      <w:t>(</w:t>
    </w:r>
    <w:r>
      <w:rPr/>
      <w:fldChar w:fldCharType="begin"/>
    </w:r>
    <w:r>
      <w:rPr/>
      <w:instrText xml:space="preserve"> PAGE </w:instrText>
    </w:r>
    <w:r>
      <w:rPr/>
      <w:fldChar w:fldCharType="separate"/>
    </w:r>
    <w:r>
      <w:rPr/>
      <w:t>3</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1134"/>
      <w:jc w:val="center"/>
      <w:rPr>
        <w:b/>
        <w:sz w:val="20"/>
      </w:rPr>
    </w:pPr>
    <w:r>
      <w:rPr>
        <w:b/>
        <w:sz w:val="20"/>
      </w:rPr>
      <w:t>PricewaterhouseCoopers Private and Confidential</w:t>
    </w:r>
  </w:p>
  <w:p>
    <w:pPr>
      <w:pStyle w:val="Footer"/>
      <w:rPr>
        <w:b/>
        <w:sz w:val="14"/>
      </w:rPr>
    </w:pPr>
    <w:r>
      <w:rPr>
        <w:b/>
        <w:sz w:val="14"/>
      </w:rPr>
    </w:r>
    <w:bookmarkStart w:id="10" w:name="Disc3"/>
    <w:bookmarkStart w:id="11" w:name="Disc3"/>
    <w:bookmarkEnd w:id="1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5797550" cy="184150"/>
              <wp:effectExtent l="0" t="0" r="0" b="0"/>
              <wp:wrapNone/>
              <wp:docPr id="1" name="Frame3"/>
              <a:graphic xmlns:a="http://schemas.openxmlformats.org/drawingml/2006/main">
                <a:graphicData uri="http://schemas.microsoft.com/office/word/2010/wordprocessingShape">
                  <wps:wsp>
                    <wps:cNvSpPr txBox="1"/>
                    <wps:spPr>
                      <a:xfrm>
                        <a:off x="0" y="0"/>
                        <a:ext cx="5797550" cy="184150"/>
                      </a:xfrm>
                      <a:prstGeom prst="rect"/>
                      <a:solidFill>
                        <a:srgbClr val="FFFFFF"/>
                      </a:solidFill>
                    </wps:spPr>
                    <wps:txbx>
                      <w:txbxContent>
                        <w:p>
                          <w:pPr>
                            <w:pStyle w:val="Header"/>
                            <w:spacing w:before="0" w:after="3402"/>
                            <w:rPr>
                              <w:lang w:val="en-CA"/>
                            </w:rPr>
                          </w:pPr>
                          <w:r>
                            <w:rPr>
                              <w:lang w:val="en-CA"/>
                            </w:rPr>
                            <w:object w:dxaOrig="4945" w:dyaOrig="57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9.4pt;margin-top:41.1pt;width:253.2pt;height:29.6pt;mso-wrap-distance-left:9.05pt;mso-wrap-distance-right:9.05pt;mso-position-horizontal-relative:page;mso-position-vertical-relative:page" filled="f" o:ole="">
                                <v:imagedata r:id="rId2" o:title=""/>
                              </v:shape>
                              <o:OLEObject Type="Embed" ProgID="" ShapeID="ole_rId1" DrawAspect="Content" ObjectID="_1440014114" r:id="rId1"/>
                            </w:object>
                          </w:r>
                        </w:p>
                      </w:txbxContent>
                    </wps:txbx>
                    <wps:bodyPr anchor="t" lIns="0" tIns="0" rIns="0" bIns="0">
                      <a:noAutofit/>
                    </wps:bodyPr>
                  </wps:wsp>
                </a:graphicData>
              </a:graphic>
            </wp:anchor>
          </w:drawing>
        </mc:Choice>
        <mc:Fallback>
          <w:pict>
            <v:rect style="position:absolute;rotation:-0;width:456.5pt;height:14.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spacing w:before="0" w:after="3402"/>
                      <w:rPr>
                        <w:lang w:val="en-CA"/>
                      </w:rPr>
                    </w:pPr>
                    <w:r>
                      <w:rPr>
                        <w:lang w:val="en-CA"/>
                      </w:rPr>
                      <w:object w:dxaOrig="4945" w:dyaOrig="57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9.4pt;margin-top:41.1pt;width:253.2pt;height:29.6pt;mso-wrap-distance-left:9.05pt;mso-wrap-distance-right:9.05pt;mso-position-horizontal-relative:page;mso-position-vertical-relative:page" filled="f" o:ole="">
                          <v:imagedata r:id="rId4" o:title=""/>
                        </v:shape>
                        <o:OLEObject Type="Embed" ProgID="" ShapeID="ole_rId3" DrawAspect="Content" ObjectID="_2061304958" r:id="rId3"/>
                      </w:objec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797550" cy="552450"/>
              <wp:effectExtent l="0" t="0" r="0" b="0"/>
              <wp:wrapNone/>
              <wp:docPr id="2" name="Frame1"/>
              <a:graphic xmlns:a="http://schemas.openxmlformats.org/drawingml/2006/main">
                <a:graphicData uri="http://schemas.microsoft.com/office/word/2010/wordprocessingShape">
                  <wps:wsp>
                    <wps:cNvSpPr txBox="1"/>
                    <wps:spPr>
                      <a:xfrm>
                        <a:off x="0" y="0"/>
                        <a:ext cx="5797550" cy="552450"/>
                      </a:xfrm>
                      <a:prstGeom prst="rect"/>
                      <a:solidFill>
                        <a:srgbClr val="FFFFFF"/>
                      </a:solidFill>
                    </wps:spPr>
                    <wps:txbx>
                      <w:txbxContent>
                        <w:p>
                          <w:pPr>
                            <w:pStyle w:val="Header"/>
                            <w:rPr/>
                          </w:pPr>
                          <w:r>
                            <w:rPr/>
                          </w:r>
                        </w:p>
                        <w:p>
                          <w:pPr>
                            <w:pStyle w:val="Header"/>
                            <w:rPr/>
                          </w:pPr>
                          <w:r>
                            <w:rPr/>
                          </w:r>
                        </w:p>
                        <w:p>
                          <w:pPr>
                            <w:pStyle w:val="Header"/>
                            <w:rPr>
                              <w:lang w:val="en-CA"/>
                            </w:rPr>
                          </w:pPr>
                          <w:r>
                            <w:rPr>
                              <w:lang w:val="en-CA"/>
                            </w:rPr>
                            <w:object w:dxaOrig="4945" w:dyaOrig="57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9.4pt;margin-top:41.1pt;width:253.2pt;height:29.6pt;mso-wrap-distance-left:9.05pt;mso-wrap-distance-right:9.05pt;mso-position-horizontal-relative:page;mso-position-vertical-relative:page" filled="f" o:ole="">
                                <v:imagedata r:id="rId2" o:title=""/>
                              </v:shape>
                              <o:OLEObject Type="Embed" ProgID="" ShapeID="ole_rId1" DrawAspect="Content" ObjectID="_1734380245" r:id="rId1"/>
                            </w:object>
                          </w:r>
                        </w:p>
                      </w:txbxContent>
                    </wps:txbx>
                    <wps:bodyPr anchor="t" lIns="0" tIns="0" rIns="0" bIns="0">
                      <a:noAutofit/>
                    </wps:bodyPr>
                  </wps:wsp>
                </a:graphicData>
              </a:graphic>
            </wp:anchor>
          </w:drawing>
        </mc:Choice>
        <mc:Fallback>
          <w:pict>
            <v:rect style="position:absolute;rotation:-0;width:456.5pt;height:43.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p>
                    <w:pPr>
                      <w:pStyle w:val="Header"/>
                      <w:rPr/>
                    </w:pPr>
                    <w:r>
                      <w:rPr/>
                    </w:r>
                  </w:p>
                  <w:p>
                    <w:pPr>
                      <w:pStyle w:val="Header"/>
                      <w:rPr>
                        <w:lang w:val="en-CA"/>
                      </w:rPr>
                    </w:pPr>
                    <w:r>
                      <w:rPr>
                        <w:lang w:val="en-CA"/>
                      </w:rPr>
                      <w:object w:dxaOrig="4945" w:dyaOrig="57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9.4pt;margin-top:41.1pt;width:253.2pt;height:29.6pt;mso-wrap-distance-left:9.05pt;mso-wrap-distance-right:9.05pt;mso-position-horizontal-relative:page;mso-position-vertical-relative:page" filled="f" o:ole="">
                          <v:imagedata r:id="rId4" o:title=""/>
                        </v:shape>
                        <o:OLEObject Type="Embed" ProgID="" ShapeID="ole_rId3" DrawAspect="Content" ObjectID="_580247225" r:id="rId3"/>
                      </w:object>
                    </w:r>
                  </w:p>
                </w:txbxContent>
              </v:textbox>
              <w10:wrap type="none"/>
            </v:rect>
          </w:pict>
        </mc:Fallback>
      </mc:AlternateContent>
    </w:r>
    <w:r>
      <mc:AlternateContent>
        <mc:Choice Requires="wps">
          <w:drawing>
            <wp:anchor behindDoc="0" distT="0" distB="114935" distL="114935" distR="114935" simplePos="0" locked="0" layoutInCell="0" allowOverlap="1" relativeHeight="7">
              <wp:simplePos x="0" y="0"/>
              <wp:positionH relativeFrom="rightMargin">
                <wp:posOffset>-5715</wp:posOffset>
              </wp:positionH>
              <wp:positionV relativeFrom="margin">
                <wp:align>top</wp:align>
              </wp:positionV>
              <wp:extent cx="2028825" cy="869950"/>
              <wp:effectExtent l="0" t="0" r="0" b="0"/>
              <wp:wrapSquare wrapText="bothSides"/>
              <wp:docPr id="3" name="Frame2"/>
              <a:graphic xmlns:a="http://schemas.openxmlformats.org/drawingml/2006/main">
                <a:graphicData uri="http://schemas.microsoft.com/office/word/2010/wordprocessingShape">
                  <wps:wsp>
                    <wps:cNvSpPr txBox="1"/>
                    <wps:spPr>
                      <a:xfrm>
                        <a:off x="0" y="0"/>
                        <a:ext cx="2028825" cy="869950"/>
                      </a:xfrm>
                      <a:prstGeom prst="rect"/>
                      <a:solidFill>
                        <a:srgbClr val="FFFFFF">
                          <a:alpha val="0"/>
                        </a:srgbClr>
                      </a:solidFill>
                    </wps:spPr>
                    <wps:txbx>
                      <w:txbxContent>
                        <w:p>
                          <w:pPr>
                            <w:pStyle w:val="Address"/>
                            <w:spacing w:lineRule="exact" w:line="170"/>
                            <w:rPr/>
                          </w:pPr>
                          <w:r>
                            <w:rPr/>
                          </w:r>
                        </w:p>
                        <w:p>
                          <w:pPr>
                            <w:pStyle w:val="Address"/>
                            <w:rPr>
                              <w:b/>
                            </w:rPr>
                          </w:pPr>
                          <w:bookmarkStart w:id="6" w:name="Address"/>
                          <w:r>
                            <w:rPr>
                              <w:b/>
                            </w:rPr>
                            <w:t>PricewaterhouseCoopers LLP</w:t>
                          </w:r>
                        </w:p>
                        <w:p>
                          <w:pPr>
                            <w:pStyle w:val="Address"/>
                            <w:rPr/>
                          </w:pPr>
                          <w:r>
                            <w:rPr/>
                            <w:t>1201 Louisiana Street, Suite 2900</w:t>
                          </w:r>
                        </w:p>
                        <w:p>
                          <w:pPr>
                            <w:pStyle w:val="Address"/>
                            <w:rPr/>
                          </w:pPr>
                          <w:r>
                            <w:rPr/>
                            <w:t>Houston, Texas 77002</w:t>
                          </w:r>
                        </w:p>
                        <w:p>
                          <w:pPr>
                            <w:pStyle w:val="Address"/>
                            <w:rPr/>
                          </w:pPr>
                          <w:r>
                            <w:rPr/>
                            <w:t>Telephone 713-356-4000</w:t>
                          </w:r>
                        </w:p>
                        <w:p>
                          <w:pPr>
                            <w:pStyle w:val="Address"/>
                            <w:rPr/>
                          </w:pPr>
                          <w:r>
                            <w:rPr/>
                            <w:t>Facsimile 713-356-6077</w:t>
                          </w:r>
                        </w:p>
                        <w:p>
                          <w:pPr>
                            <w:pStyle w:val="Address"/>
                            <w:rPr/>
                          </w:pPr>
                          <w:bookmarkStart w:id="7" w:name="Address"/>
                          <w:r>
                            <w:rPr/>
                            <w:t xml:space="preserve">Direct phone </w:t>
                          </w:r>
                          <w:bookmarkEnd w:id="7"/>
                          <w:r>
                            <w:rPr/>
                            <w:t>713-356-6017</w:t>
                          </w:r>
                        </w:p>
                      </w:txbxContent>
                    </wps:txbx>
                    <wps:bodyPr anchor="t" lIns="114300" tIns="0" rIns="0" bIns="0">
                      <a:noAutofit/>
                    </wps:bodyPr>
                  </wps:wsp>
                </a:graphicData>
              </a:graphic>
            </wp:anchor>
          </w:drawing>
        </mc:Choice>
        <mc:Fallback>
          <w:pict>
            <v:rect fillcolor="#FFFFFF" style="position:absolute;rotation:-0;width:159.75pt;height:68.5pt;mso-wrap-distance-left:9.05pt;mso-wrap-distance-right:9.05pt;mso-wrap-distance-top:0pt;mso-wrap-distance-bottom:9.05pt;margin-top:0pt;mso-position-vertical:top;mso-position-vertical-relative:margin;margin-left:-0.45pt;mso-position-horizontal-relative:text">
              <v:fill opacity="0f"/>
              <v:textbox inset="0.125in,0in,0in,0in">
                <w:txbxContent>
                  <w:p>
                    <w:pPr>
                      <w:pStyle w:val="Address"/>
                      <w:spacing w:lineRule="exact" w:line="170"/>
                      <w:rPr/>
                    </w:pPr>
                    <w:r>
                      <w:rPr/>
                    </w:r>
                  </w:p>
                  <w:p>
                    <w:pPr>
                      <w:pStyle w:val="Address"/>
                      <w:rPr>
                        <w:b/>
                      </w:rPr>
                    </w:pPr>
                    <w:bookmarkStart w:id="8" w:name="Address"/>
                    <w:r>
                      <w:rPr>
                        <w:b/>
                      </w:rPr>
                      <w:t>PricewaterhouseCoopers LLP</w:t>
                    </w:r>
                  </w:p>
                  <w:p>
                    <w:pPr>
                      <w:pStyle w:val="Address"/>
                      <w:rPr/>
                    </w:pPr>
                    <w:r>
                      <w:rPr/>
                      <w:t>1201 Louisiana Street, Suite 2900</w:t>
                    </w:r>
                  </w:p>
                  <w:p>
                    <w:pPr>
                      <w:pStyle w:val="Address"/>
                      <w:rPr/>
                    </w:pPr>
                    <w:r>
                      <w:rPr/>
                      <w:t>Houston, Texas 77002</w:t>
                    </w:r>
                  </w:p>
                  <w:p>
                    <w:pPr>
                      <w:pStyle w:val="Address"/>
                      <w:rPr/>
                    </w:pPr>
                    <w:r>
                      <w:rPr/>
                      <w:t>Telephone 713-356-4000</w:t>
                    </w:r>
                  </w:p>
                  <w:p>
                    <w:pPr>
                      <w:pStyle w:val="Address"/>
                      <w:rPr/>
                    </w:pPr>
                    <w:r>
                      <w:rPr/>
                      <w:t>Facsimile 713-356-6077</w:t>
                    </w:r>
                  </w:p>
                  <w:p>
                    <w:pPr>
                      <w:pStyle w:val="Address"/>
                      <w:rPr/>
                    </w:pPr>
                    <w:bookmarkStart w:id="9" w:name="Address"/>
                    <w:r>
                      <w:rPr/>
                      <w:t xml:space="preserve">Direct phone </w:t>
                    </w:r>
                    <w:bookmarkEnd w:id="9"/>
                    <w:r>
                      <w:rPr/>
                      <w:t>713-356-6017</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none"/>
      <w:suff w:val="nothing"/>
      <w:lvlText w:val="%2"/>
      <w:lvlJc w:val="start"/>
      <w:pPr>
        <w:tabs>
          <w:tab w:val="num" w:pos="0"/>
        </w:tabs>
        <w:ind w:start="0" w:hanging="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1440"/>
        </w:tabs>
        <w:ind w:start="1440" w:hanging="720"/>
      </w:pPr>
    </w:lvl>
    <w:lvl w:ilvl="4">
      <w:start w:val="1"/>
      <w:pStyle w:val="Heading5"/>
      <w:numFmt w:val="lowerRoman"/>
      <w:lvlText w:val="(%5)"/>
      <w:lvlJc w:val="start"/>
      <w:pPr>
        <w:tabs>
          <w:tab w:val="num" w:pos="2520"/>
        </w:tabs>
        <w:ind w:start="2160" w:hanging="720"/>
      </w:pPr>
    </w:lvl>
    <w:lvl w:ilvl="5">
      <w:start w:val="1"/>
      <w:pStyle w:val="Heading6"/>
      <w:isLgl/>
      <w:numFmt w:val="decimal"/>
      <w:lvlText w:val="%6"/>
      <w:lvlJc w:val="start"/>
      <w:pPr>
        <w:tabs>
          <w:tab w:val="num" w:pos="1440"/>
        </w:tabs>
        <w:ind w:start="1440" w:hanging="1440"/>
      </w:pPr>
    </w:lvl>
    <w:lvl w:ilvl="6">
      <w:start w:val="1"/>
      <w:pStyle w:val="Heading7"/>
      <w:isLgl/>
      <w:numFmt w:val="decimal"/>
      <w:lvlText w:val="%6.%7"/>
      <w:lvlJc w:val="start"/>
      <w:pPr>
        <w:tabs>
          <w:tab w:val="num" w:pos="1440"/>
        </w:tabs>
        <w:ind w:start="1440" w:hanging="1440"/>
      </w:pPr>
    </w:lvl>
    <w:lvl w:ilvl="7">
      <w:start w:val="1"/>
      <w:pStyle w:val="Heading8"/>
      <w:isLgl/>
      <w:numFmt w:val="decimal"/>
      <w:lvlText w:val="%6.%7.%8"/>
      <w:lvlJc w:val="start"/>
      <w:pPr>
        <w:tabs>
          <w:tab w:val="num" w:pos="1440"/>
        </w:tabs>
        <w:ind w:start="1440" w:hanging="1440"/>
      </w:pPr>
    </w:lvl>
    <w:lvl w:ilvl="8">
      <w:start w:val="1"/>
      <w:pStyle w:val="Heading9"/>
      <w:isLgl/>
      <w:numFmt w:val="decimal"/>
      <w:lvlText w:val="%6.%7.%8.%9"/>
      <w:lvlJc w:val="start"/>
      <w:pPr>
        <w:tabs>
          <w:tab w:val="num" w:pos="1440"/>
        </w:tabs>
        <w:ind w:start="1440" w:hanging="144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440"/>
        </w:tabs>
        <w:ind w:start="1440" w:hanging="720"/>
      </w:pPr>
      <w:rPr>
        <w:rFonts w:ascii="Symbol" w:hAnsi="Symbol" w:cs="Symbol" w:hint="default"/>
      </w:rPr>
    </w:lvl>
  </w:abstractNum>
  <w:abstractNum w:abstractNumId="4">
    <w:lvl w:ilvl="0">
      <w:start w:val="1"/>
      <w:numFmt w:val="bullet"/>
      <w:lvlText w:val=""/>
      <w:lvlJc w:val="start"/>
      <w:pPr>
        <w:tabs>
          <w:tab w:val="num" w:pos="1440"/>
        </w:tabs>
        <w:ind w:start="1440" w:hanging="363"/>
      </w:pPr>
      <w:rPr>
        <w:rFonts w:ascii="Wingdings" w:hAnsi="Wingdings" w:cs="Wingdings" w:hint="default"/>
        <w:sz w:val="12"/>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2160"/>
        </w:tabs>
        <w:ind w:start="2160" w:hanging="720"/>
      </w:pPr>
      <w:rPr>
        <w:rFonts w:ascii="Wingdings" w:hAnsi="Wingdings" w:cs="Wingdings" w:hint="default"/>
        <w:sz w:val="16"/>
      </w:rPr>
    </w:lvl>
  </w:abstractNum>
  <w:abstractNum w:abstractNumId="8">
    <w:lvl w:ilvl="0">
      <w:start w:val="1"/>
      <w:numFmt w:val="bullet"/>
      <w:lvlText w:val=""/>
      <w:lvlJc w:val="start"/>
      <w:pPr>
        <w:tabs>
          <w:tab w:val="num" w:pos="2880"/>
        </w:tabs>
        <w:ind w:start="2880" w:hanging="720"/>
      </w:pPr>
      <w:rPr>
        <w:rFonts w:ascii="Wingdings" w:hAnsi="Wingdings" w:cs="Wingdings" w:hint="default"/>
        <w:sz w:val="16"/>
      </w:rPr>
    </w:lvl>
  </w:abstractNum>
  <w:abstractNum w:abstractNumId="9">
    <w:lvl w:ilvl="0">
      <w:start w:val="1"/>
      <w:numFmt w:val="bullet"/>
      <w:lvlText w:val=""/>
      <w:lvlJc w:val="start"/>
      <w:pPr>
        <w:tabs>
          <w:tab w:val="num" w:pos="720"/>
        </w:tabs>
        <w:ind w:start="720" w:hanging="720"/>
      </w:pPr>
      <w:rPr>
        <w:rFonts w:ascii="Symbol" w:hAnsi="Symbol" w:cs="Symbol" w:hint="default"/>
        <w:sz w:val="28"/>
        <w:color w:val="auto"/>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Wingdings" w:hAnsi="Wingdings" w:cs="Wingdings" w:hint="default"/>
        <w:sz w:val="12"/>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3"/>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357"/>
  <w:autoHyphenation w:val="true"/>
  <w:hyphenationZone w:val="0"/>
  <w:compat>
    <w:compatSetting w:name="compatibilityMode" w:uri="http://schemas.microsoft.com/office/word" w:val="11"/>
  </w:compat>
  <w:docVars>
    <w:docVar w:name="GTDTProtect" w:val="-1"/>
    <w:docVar w:name="Versi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9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keepLines/>
      <w:pageBreakBefore/>
      <w:numPr>
        <w:ilvl w:val="0"/>
        <w:numId w:val="1"/>
      </w:numPr>
      <w:spacing w:lineRule="atLeast" w:line="410" w:before="0" w:after="242"/>
      <w:outlineLvl w:val="0"/>
    </w:pPr>
    <w:rPr>
      <w:b/>
      <w:kern w:val="2"/>
      <w:sz w:val="36"/>
      <w:lang w:val="en-US"/>
    </w:rPr>
  </w:style>
  <w:style w:type="paragraph" w:styleId="Heading2">
    <w:name w:val="heading 2"/>
    <w:basedOn w:val="Normal"/>
    <w:next w:val="Heading3"/>
    <w:qFormat/>
    <w:pPr>
      <w:numPr>
        <w:ilvl w:val="1"/>
        <w:numId w:val="1"/>
      </w:numPr>
      <w:outlineLvl w:val="1"/>
    </w:pPr>
    <w:rPr>
      <w:lang w:val="en-US"/>
    </w:rPr>
  </w:style>
  <w:style w:type="paragraph" w:styleId="Heading3">
    <w:name w:val="heading 3"/>
    <w:basedOn w:val="Normal"/>
    <w:next w:val="BodyText"/>
    <w:qFormat/>
    <w:pPr>
      <w:numPr>
        <w:ilvl w:val="2"/>
        <w:numId w:val="1"/>
      </w:numPr>
      <w:outlineLvl w:val="2"/>
    </w:pPr>
    <w:rPr>
      <w:lang w:val="en-US"/>
    </w:rPr>
  </w:style>
  <w:style w:type="paragraph" w:styleId="Heading4">
    <w:name w:val="heading 4"/>
    <w:basedOn w:val="Normal"/>
    <w:next w:val="BodyText"/>
    <w:qFormat/>
    <w:pPr>
      <w:numPr>
        <w:ilvl w:val="3"/>
        <w:numId w:val="1"/>
      </w:numPr>
      <w:outlineLvl w:val="3"/>
    </w:pPr>
    <w:rPr>
      <w:lang w:val="en-US"/>
    </w:rPr>
  </w:style>
  <w:style w:type="paragraph" w:styleId="Heading5">
    <w:name w:val="heading 5"/>
    <w:basedOn w:val="Normal"/>
    <w:next w:val="BodyText"/>
    <w:qFormat/>
    <w:pPr>
      <w:numPr>
        <w:ilvl w:val="4"/>
        <w:numId w:val="1"/>
      </w:numPr>
      <w:tabs>
        <w:tab w:val="clear" w:pos="357"/>
        <w:tab w:val="left" w:pos="2160" w:leader="none"/>
      </w:tabs>
      <w:outlineLvl w:val="4"/>
    </w:pPr>
    <w:rPr>
      <w:lang w:val="en-US"/>
    </w:rPr>
  </w:style>
  <w:style w:type="paragraph" w:styleId="Heading6">
    <w:name w:val="heading 6"/>
    <w:basedOn w:val="Normal"/>
    <w:next w:val="BodyText"/>
    <w:qFormat/>
    <w:pPr>
      <w:numPr>
        <w:ilvl w:val="5"/>
        <w:numId w:val="1"/>
      </w:numPr>
      <w:outlineLvl w:val="5"/>
    </w:pPr>
    <w:rPr>
      <w:lang w:val="en-US"/>
    </w:rPr>
  </w:style>
  <w:style w:type="paragraph" w:styleId="Heading7">
    <w:name w:val="heading 7"/>
    <w:basedOn w:val="Normal"/>
    <w:next w:val="BodyText"/>
    <w:qFormat/>
    <w:pPr>
      <w:numPr>
        <w:ilvl w:val="6"/>
        <w:numId w:val="1"/>
      </w:numPr>
      <w:outlineLvl w:val="6"/>
    </w:pPr>
    <w:rPr>
      <w:lang w:val="en-US"/>
    </w:rPr>
  </w:style>
  <w:style w:type="paragraph" w:styleId="Heading8">
    <w:name w:val="heading 8"/>
    <w:basedOn w:val="Normal"/>
    <w:next w:val="BodyText"/>
    <w:qFormat/>
    <w:pPr>
      <w:numPr>
        <w:ilvl w:val="7"/>
        <w:numId w:val="1"/>
      </w:numPr>
      <w:outlineLvl w:val="7"/>
    </w:pPr>
    <w:rPr>
      <w:lang w:val="en-US"/>
    </w:rPr>
  </w:style>
  <w:style w:type="paragraph" w:styleId="Heading9">
    <w:name w:val="heading 9"/>
    <w:basedOn w:val="Normal"/>
    <w:next w:val="BodyText"/>
    <w:qFormat/>
    <w:pPr>
      <w:numPr>
        <w:ilvl w:val="8"/>
        <w:numId w:val="1"/>
      </w:numPr>
      <w:outlineLvl w:val="8"/>
    </w:pPr>
    <w:rPr>
      <w:lang w:val="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color w:val="000000"/>
    </w:rPr>
  </w:style>
  <w:style w:type="character" w:styleId="WW8Num16z0">
    <w:name w:val="WW8Num16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rFonts w:ascii="Symbol" w:hAnsi="Symbol" w:cs="Symbol"/>
      <w:color w:val="000000"/>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color w:val="000000"/>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sz w:val="16"/>
    </w:rPr>
  </w:style>
  <w:style w:type="character" w:styleId="WW8Num34z0">
    <w:name w:val="WW8Num34z0"/>
    <w:qFormat/>
    <w:rPr>
      <w:rFonts w:ascii="Symbol" w:hAnsi="Symbol" w:cs="Symbol"/>
      <w:color w:val="000000"/>
    </w:rPr>
  </w:style>
  <w:style w:type="character" w:styleId="WW8Num35z0">
    <w:name w:val="WW8Num35z0"/>
    <w:qFormat/>
    <w:rPr>
      <w:rFonts w:ascii="Symbol" w:hAnsi="Symbol" w:cs="Symbol"/>
      <w:color w:val="auto"/>
    </w:rPr>
  </w:style>
  <w:style w:type="character" w:styleId="WW8Num36z0">
    <w:name w:val="WW8Num36z0"/>
    <w:qFormat/>
    <w:rPr>
      <w:rFonts w:ascii="Wingdings" w:hAnsi="Wingdings" w:cs="Wingdings"/>
      <w:sz w:val="16"/>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000000"/>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sz w:val="12"/>
    </w:rPr>
  </w:style>
  <w:style w:type="character" w:styleId="WW8Num51z0">
    <w:name w:val="WW8Num51z0"/>
    <w:qFormat/>
    <w:rPr>
      <w:rFonts w:ascii="Symbol" w:hAnsi="Symbol" w:cs="Symbol"/>
    </w:rPr>
  </w:style>
  <w:style w:type="character" w:styleId="WW8Num52z0">
    <w:name w:val="WW8Num52z0"/>
    <w:qFormat/>
    <w:rPr>
      <w:rFonts w:ascii="Wingdings" w:hAnsi="Wingdings" w:cs="Wingdings"/>
      <w:sz w:val="20"/>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2"/>
    </w:rPr>
  </w:style>
  <w:style w:type="character" w:styleId="WW8Num55z0">
    <w:name w:val="WW8Num55z0"/>
    <w:qFormat/>
    <w:rPr>
      <w:rFonts w:ascii="Wingdings" w:hAnsi="Wingdings" w:cs="Wingdings"/>
    </w:rPr>
  </w:style>
  <w:style w:type="character" w:styleId="WW8Num56z0">
    <w:name w:val="WW8Num56z0"/>
    <w:qFormat/>
    <w:rPr>
      <w:rFonts w:ascii="Times New Roman" w:hAnsi="Times New Roman" w:cs="Times New Roman"/>
    </w:rPr>
  </w:style>
  <w:style w:type="character" w:styleId="WW8Num58z0">
    <w:name w:val="WW8Num58z0"/>
    <w:qFormat/>
    <w:rPr>
      <w:rFonts w:ascii="Symbol" w:hAnsi="Symbol" w:cs="Symbol"/>
    </w:rPr>
  </w:style>
  <w:style w:type="character" w:styleId="WW8Num59z0">
    <w:name w:val="WW8Num59z0"/>
    <w:qFormat/>
    <w:rPr>
      <w:rFonts w:ascii="Wingdings" w:hAnsi="Wingdings" w:cs="Wingdings"/>
      <w:sz w:val="16"/>
    </w:rPr>
  </w:style>
  <w:style w:type="character" w:styleId="WW8Num60z0">
    <w:name w:val="WW8Num60z0"/>
    <w:qFormat/>
    <w:rPr>
      <w:rFonts w:ascii="Symbol" w:hAnsi="Symbol" w:cs="Symbol"/>
      <w:color w:val="auto"/>
    </w:rPr>
  </w:style>
  <w:style w:type="character" w:styleId="WW8Num61z0">
    <w:name w:val="WW8Num61z0"/>
    <w:qFormat/>
    <w:rPr>
      <w:rFonts w:ascii="Times New Roman" w:hAnsi="Times New Roman" w:cs="Times New Roman"/>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WW8Num67z0">
    <w:name w:val="WW8Num67z0"/>
    <w:qFormat/>
    <w:rPr>
      <w:rFonts w:ascii="Symbol" w:hAnsi="Symbol" w:cs="Symbol"/>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sz w:val="16"/>
    </w:rPr>
  </w:style>
  <w:style w:type="character" w:styleId="WW8Num72z0">
    <w:name w:val="WW8Num72z0"/>
    <w:qFormat/>
    <w:rPr>
      <w:rFonts w:ascii="Wingdings" w:hAnsi="Wingdings" w:cs="Wingdings"/>
      <w:sz w:val="16"/>
    </w:rPr>
  </w:style>
  <w:style w:type="character" w:styleId="WW8Num73z0">
    <w:name w:val="WW8Num73z0"/>
    <w:qFormat/>
    <w:rPr>
      <w:rFonts w:ascii="Times New Roman" w:hAnsi="Times New Roman" w:cs="Times New Roman"/>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rPr>
  </w:style>
  <w:style w:type="character" w:styleId="WW8Num77z0">
    <w:name w:val="WW8Num77z0"/>
    <w:qFormat/>
    <w:rPr>
      <w:rFonts w:ascii="Wingdings" w:hAnsi="Wingdings" w:cs="Wingdings"/>
      <w:sz w:val="16"/>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b/>
      <w:i w:val="false"/>
    </w:rPr>
  </w:style>
  <w:style w:type="character" w:styleId="WW8Num81z0">
    <w:name w:val="WW8Num81z0"/>
    <w:qFormat/>
    <w:rPr>
      <w:rFonts w:ascii="Wingdings" w:hAnsi="Wingdings" w:cs="Wingdings"/>
    </w:rPr>
  </w:style>
  <w:style w:type="character" w:styleId="WW8Num82z0">
    <w:name w:val="WW8Num82z0"/>
    <w:qFormat/>
    <w:rPr>
      <w:rFonts w:ascii="Symbol" w:hAnsi="Symbol" w:cs="Symbol"/>
      <w:color w:val="auto"/>
    </w:rPr>
  </w:style>
  <w:style w:type="character" w:styleId="WW8Num83z0">
    <w:name w:val="WW8Num83z0"/>
    <w:qFormat/>
    <w:rPr>
      <w:rFonts w:ascii="Wingdings" w:hAnsi="Wingdings" w:cs="Wingdings"/>
      <w:sz w:val="16"/>
    </w:rPr>
  </w:style>
  <w:style w:type="character" w:styleId="WW8Num84z0">
    <w:name w:val="WW8Num84z0"/>
    <w:qFormat/>
    <w:rPr>
      <w:rFonts w:ascii="Symbol" w:hAnsi="Symbol" w:cs="Symbol"/>
      <w:color w:val="000000"/>
    </w:rPr>
  </w:style>
  <w:style w:type="character" w:styleId="WW8Num85z0">
    <w:name w:val="WW8Num85z0"/>
    <w:qFormat/>
    <w:rPr>
      <w:rFonts w:ascii="Symbol" w:hAnsi="Symbol" w:cs="Symbol"/>
      <w:color w:val="000000"/>
    </w:rPr>
  </w:style>
  <w:style w:type="character" w:styleId="WW8Num86z0">
    <w:name w:val="WW8Num86z0"/>
    <w:qFormat/>
    <w:rPr>
      <w:rFonts w:ascii="Symbol" w:hAnsi="Symbol" w:cs="Symbol"/>
      <w:color w:val="auto"/>
    </w:rPr>
  </w:style>
  <w:style w:type="character" w:styleId="WW8Num87z0">
    <w:name w:val="WW8Num87z0"/>
    <w:qFormat/>
    <w:rPr>
      <w:rFonts w:ascii="Symbol" w:hAnsi="Symbol" w:cs="Symbol"/>
      <w:color w:val="000000"/>
    </w:rPr>
  </w:style>
  <w:style w:type="character" w:styleId="WW8Num88z0">
    <w:name w:val="WW8Num88z0"/>
    <w:qFormat/>
    <w:rPr>
      <w:i/>
    </w:rPr>
  </w:style>
  <w:style w:type="character" w:styleId="WW8Num89z0">
    <w:name w:val="WW8Num89z0"/>
    <w:qFormat/>
    <w:rPr>
      <w:rFonts w:ascii="Wingdings" w:hAnsi="Wingdings" w:cs="Wingdings"/>
    </w:rPr>
  </w:style>
  <w:style w:type="character" w:styleId="WW8Num90z0">
    <w:name w:val="WW8Num90z0"/>
    <w:qFormat/>
    <w:rPr>
      <w:rFonts w:ascii="Symbol" w:hAnsi="Symbol" w:cs="Symbol"/>
      <w:color w:val="auto"/>
      <w:sz w:val="28"/>
    </w:rPr>
  </w:style>
  <w:style w:type="character" w:styleId="WW8Num91z0">
    <w:name w:val="WW8Num91z0"/>
    <w:qFormat/>
    <w:rPr>
      <w:rFonts w:ascii="Symbol" w:hAnsi="Symbol" w:cs="Symbol"/>
    </w:rPr>
  </w:style>
  <w:style w:type="character" w:styleId="WW8Num92z0">
    <w:name w:val="WW8Num92z0"/>
    <w:qFormat/>
    <w:rPr>
      <w:rFonts w:ascii="Wingdings" w:hAnsi="Wingdings" w:cs="Wingdings"/>
      <w:sz w:val="16"/>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Wingdings" w:hAnsi="Wingdings" w:cs="Wingdings"/>
      <w:sz w:val="16"/>
    </w:rPr>
  </w:style>
  <w:style w:type="character" w:styleId="WW8Num97z0">
    <w:name w:val="WW8Num97z0"/>
    <w:qFormat/>
    <w:rPr>
      <w:rFonts w:ascii="Wingdings" w:hAnsi="Wingdings" w:cs="Wingdings"/>
    </w:rPr>
  </w:style>
  <w:style w:type="character" w:styleId="WW8Num98z0">
    <w:name w:val="WW8Num98z0"/>
    <w:qFormat/>
    <w:rPr>
      <w:rFonts w:ascii="Symbol" w:hAnsi="Symbol" w:cs="Symbol"/>
      <w:color w:val="000000"/>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color w:val="000000"/>
    </w:rPr>
  </w:style>
  <w:style w:type="character" w:styleId="WW8Num105z0">
    <w:name w:val="WW8Num105z0"/>
    <w:qFormat/>
    <w:rPr>
      <w:rFonts w:ascii="Times New Roman" w:hAnsi="Times New Roman" w:cs="Times New Roman"/>
    </w:rPr>
  </w:style>
  <w:style w:type="character" w:styleId="WW8Num106z0">
    <w:name w:val="WW8Num106z0"/>
    <w:qFormat/>
    <w:rPr>
      <w:rFonts w:ascii="Wingdings" w:hAnsi="Wingdings" w:cs="Wingdings"/>
      <w:sz w:val="20"/>
    </w:rPr>
  </w:style>
  <w:style w:type="character" w:styleId="WW8Num107z0">
    <w:name w:val="WW8Num107z0"/>
    <w:qFormat/>
    <w:rPr>
      <w:rFonts w:ascii="Symbol" w:hAnsi="Symbol" w:cs="Symbol"/>
    </w:rPr>
  </w:style>
  <w:style w:type="character" w:styleId="WW8Num108z0">
    <w:name w:val="WW8Num108z0"/>
    <w:qFormat/>
    <w:rPr>
      <w:rFonts w:ascii="Wingdings" w:hAnsi="Wingdings" w:cs="Wingdings"/>
      <w:sz w:val="12"/>
    </w:rPr>
  </w:style>
  <w:style w:type="character" w:styleId="WW8Num109z0">
    <w:name w:val="WW8Num109z0"/>
    <w:qFormat/>
    <w:rPr>
      <w:rFonts w:ascii="Symbol" w:hAnsi="Symbol" w:cs="Symbol"/>
      <w:color w:val="000000"/>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Times New Roman" w:hAnsi="Times New Roman" w:cs="Times New Roman"/>
    </w:rPr>
  </w:style>
  <w:style w:type="character" w:styleId="WW8Num116z0">
    <w:name w:val="WW8Num116z0"/>
    <w:qFormat/>
    <w:rPr>
      <w:rFonts w:ascii="Wingdings" w:hAnsi="Wingdings" w:cs="Wingdings"/>
    </w:rPr>
  </w:style>
  <w:style w:type="character" w:styleId="WW8Num117z0">
    <w:name w:val="WW8Num117z0"/>
    <w:qFormat/>
    <w:rPr>
      <w:rFonts w:ascii="Symbol" w:hAnsi="Symbol" w:cs="Symbol"/>
      <w:color w:val="auto"/>
    </w:rPr>
  </w:style>
  <w:style w:type="character" w:styleId="WW8Num118z0">
    <w:name w:val="WW8Num118z0"/>
    <w:qFormat/>
    <w:rPr>
      <w:rFonts w:ascii="Wingdings" w:hAnsi="Wingdings" w:cs="Wingdings"/>
    </w:rPr>
  </w:style>
  <w:style w:type="character" w:styleId="WW8Num119z0">
    <w:name w:val="WW8Num119z0"/>
    <w:qFormat/>
    <w:rPr>
      <w:rFonts w:ascii="Times New Roman" w:hAnsi="Times New Roman" w:cs="Times New Roman"/>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Wingdings" w:hAnsi="Wingdings" w:cs="Wingdings"/>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7z0">
    <w:name w:val="WW8Num127z0"/>
    <w:qFormat/>
    <w:rPr>
      <w:rFonts w:ascii="Symbol" w:hAnsi="Symbol" w:cs="Symbol"/>
    </w:rPr>
  </w:style>
  <w:style w:type="character" w:styleId="WW8Num128z0">
    <w:name w:val="WW8Num128z0"/>
    <w:qFormat/>
    <w:rPr>
      <w:rFonts w:ascii="Wingdings" w:hAnsi="Wingdings" w:cs="Wingdings"/>
      <w:sz w:val="16"/>
    </w:rPr>
  </w:style>
  <w:style w:type="character" w:styleId="WW8Num129z0">
    <w:name w:val="WW8Num129z0"/>
    <w:qFormat/>
    <w:rPr>
      <w:rFonts w:ascii="Wingdings" w:hAnsi="Wingdings" w:cs="Wingdings"/>
      <w:sz w:val="12"/>
    </w:rPr>
  </w:style>
  <w:style w:type="character" w:styleId="WW8Num130z0">
    <w:name w:val="WW8Num130z0"/>
    <w:qFormat/>
    <w:rPr>
      <w:rFonts w:ascii="Symbol" w:hAnsi="Symbol" w:cs="Symbol"/>
      <w:sz w:val="18"/>
    </w:rPr>
  </w:style>
  <w:style w:type="character" w:styleId="WW8Num131z0">
    <w:name w:val="WW8Num131z0"/>
    <w:qFormat/>
    <w:rPr>
      <w:rFonts w:ascii="Wingdings" w:hAnsi="Wingdings" w:cs="Wingdings"/>
    </w:rPr>
  </w:style>
  <w:style w:type="character" w:styleId="WW8Num132z0">
    <w:name w:val="WW8Num132z0"/>
    <w:qFormat/>
    <w:rPr>
      <w:rFonts w:ascii="Symbol" w:hAnsi="Symbol" w:cs="Symbol"/>
      <w:color w:val="auto"/>
    </w:rPr>
  </w:style>
  <w:style w:type="character" w:styleId="WW8Num133z0">
    <w:name w:val="WW8Num133z0"/>
    <w:qFormat/>
    <w:rPr>
      <w:rFonts w:ascii="Wingdings" w:hAnsi="Wingdings" w:cs="Wingdings"/>
      <w:sz w:val="16"/>
    </w:rPr>
  </w:style>
  <w:style w:type="character" w:styleId="WW8Num134z0">
    <w:name w:val="WW8Num134z0"/>
    <w:qFormat/>
    <w:rPr>
      <w:rFonts w:ascii="Wingdings" w:hAnsi="Wingdings" w:cs="Wingdings"/>
      <w:sz w:val="16"/>
    </w:rPr>
  </w:style>
  <w:style w:type="character" w:styleId="WW8Num135z0">
    <w:name w:val="WW8Num135z0"/>
    <w:qFormat/>
    <w:rPr>
      <w:rFonts w:ascii="Wingdings" w:hAnsi="Wingdings" w:cs="Wingdings"/>
    </w:rPr>
  </w:style>
  <w:style w:type="character" w:styleId="WW8Num136z0">
    <w:name w:val="WW8Num136z0"/>
    <w:qFormat/>
    <w:rPr>
      <w:rFonts w:ascii="Times New Roman" w:hAnsi="Times New Roman" w:cs="Times New Roman"/>
    </w:rPr>
  </w:style>
  <w:style w:type="character" w:styleId="WW8Num137z0">
    <w:name w:val="WW8Num137z0"/>
    <w:qFormat/>
    <w:rPr>
      <w:rFonts w:ascii="Symbol" w:hAnsi="Symbol" w:cs="Symbol"/>
    </w:rPr>
  </w:style>
  <w:style w:type="character" w:styleId="WW8Num139z0">
    <w:name w:val="WW8Num139z0"/>
    <w:qFormat/>
    <w:rPr>
      <w:rFonts w:ascii="Times New Roman" w:hAnsi="Times New Roman" w:cs="Times New Roman"/>
    </w:rPr>
  </w:style>
  <w:style w:type="character" w:styleId="WW8Num140z0">
    <w:name w:val="WW8Num140z0"/>
    <w:qFormat/>
    <w:rPr>
      <w:rFonts w:ascii="Wingdings" w:hAnsi="Wingdings" w:cs="Wingdings"/>
    </w:rPr>
  </w:style>
  <w:style w:type="character" w:styleId="WW8Num141z0">
    <w:name w:val="WW8Num141z0"/>
    <w:qFormat/>
    <w:rPr>
      <w:rFonts w:ascii="Wingdings" w:hAnsi="Wingdings" w:cs="Wingdings"/>
    </w:rPr>
  </w:style>
  <w:style w:type="character" w:styleId="WW8Num142z0">
    <w:name w:val="WW8Num142z0"/>
    <w:qFormat/>
    <w:rPr>
      <w:rFonts w:ascii="Symbol" w:hAnsi="Symbol" w:cs="Symbol"/>
      <w:color w:val="000000"/>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Wingdings" w:hAnsi="Wingdings" w:cs="Wingdings"/>
    </w:rPr>
  </w:style>
  <w:style w:type="character" w:styleId="WW8Num146z0">
    <w:name w:val="WW8Num146z0"/>
    <w:qFormat/>
    <w:rPr>
      <w:rFonts w:ascii="Symbol" w:hAnsi="Symbol" w:cs="Symbol"/>
      <w:sz w:val="18"/>
    </w:rPr>
  </w:style>
  <w:style w:type="character" w:styleId="WW8Num147z0">
    <w:name w:val="WW8Num147z0"/>
    <w:qFormat/>
    <w:rPr>
      <w:rFonts w:ascii="Symbol" w:hAnsi="Symbol" w:cs="Symbol"/>
      <w:color w:val="auto"/>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St36z0">
    <w:name w:val="WW8NumSt36z0"/>
    <w:qFormat/>
    <w:rPr>
      <w:rFonts w:ascii="Symbol" w:hAnsi="Symbol" w:cs="Symbol"/>
    </w:rPr>
  </w:style>
  <w:style w:type="character" w:styleId="WW8NumSt39z0">
    <w:name w:val="WW8NumSt39z0"/>
    <w:qFormat/>
    <w:rPr>
      <w:rFonts w:ascii="Monotype Sorts" w:hAnsi="Monotype Sorts" w:cs="Monotype Sorts"/>
      <w:sz w:val="22"/>
    </w:rPr>
  </w:style>
  <w:style w:type="character" w:styleId="WW8NumSt40z0">
    <w:name w:val="WW8NumSt40z0"/>
    <w:qFormat/>
    <w:rPr>
      <w:rFonts w:ascii="Monotype Sorts" w:hAnsi="Monotype Sorts" w:cs="Monotype Sorts"/>
      <w:sz w:val="22"/>
    </w:rPr>
  </w:style>
  <w:style w:type="character" w:styleId="DefaultParagraphFont">
    <w:name w:val="Default Paragraph Font"/>
    <w:qFormat/>
    <w:rPr>
      <w:lang w:val="en-US"/>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57"/>
        <w:tab w:val="center" w:pos="4986" w:leader="none"/>
        <w:tab w:val="right" w:pos="9972" w:leader="none"/>
      </w:tabs>
    </w:pPr>
    <w:rPr/>
  </w:style>
  <w:style w:type="paragraph" w:styleId="Header">
    <w:name w:val="header"/>
    <w:basedOn w:val="Normal"/>
    <w:pPr/>
    <w:rPr>
      <w:sz w:val="18"/>
      <w:lang w:val="en-US"/>
    </w:rPr>
  </w:style>
  <w:style w:type="paragraph" w:styleId="Subject">
    <w:name w:val="Subject"/>
    <w:basedOn w:val="Normal"/>
    <w:qFormat/>
    <w:pPr>
      <w:keepNext w:val="true"/>
      <w:keepLines/>
    </w:pPr>
    <w:rPr>
      <w:b/>
    </w:rPr>
  </w:style>
  <w:style w:type="paragraph" w:styleId="Disclaimer">
    <w:name w:val="Disclaimer"/>
    <w:basedOn w:val="Normal"/>
    <w:qFormat/>
    <w:pPr>
      <w:spacing w:lineRule="exact" w:line="200" w:before="0" w:after="0"/>
    </w:pPr>
    <w:rPr>
      <w:sz w:val="16"/>
      <w:lang w:val="en-US"/>
    </w:rPr>
  </w:style>
  <w:style w:type="paragraph" w:styleId="Bullet4">
    <w:name w:val="Bullet 4"/>
    <w:basedOn w:val="Normal"/>
    <w:qFormat/>
    <w:pPr>
      <w:numPr>
        <w:ilvl w:val="0"/>
        <w:numId w:val="8"/>
      </w:numPr>
    </w:pPr>
    <w:rPr>
      <w:lang w:val="en-US"/>
    </w:rPr>
  </w:style>
  <w:style w:type="paragraph" w:styleId="Indent4">
    <w:name w:val="Indent 4"/>
    <w:basedOn w:val="Normal"/>
    <w:qFormat/>
    <w:pPr>
      <w:ind w:hanging="0" w:start="2880" w:end="0"/>
    </w:pPr>
    <w:rPr>
      <w:lang w:val="en-US"/>
    </w:rPr>
  </w:style>
  <w:style w:type="paragraph" w:styleId="TableBullet4">
    <w:name w:val="Table Bullet 4"/>
    <w:basedOn w:val="Normal"/>
    <w:qFormat/>
    <w:pPr>
      <w:numPr>
        <w:ilvl w:val="0"/>
        <w:numId w:val="4"/>
      </w:numPr>
    </w:pPr>
    <w:rPr/>
  </w:style>
  <w:style w:type="paragraph" w:styleId="Bullet1">
    <w:name w:val="Bullet 1"/>
    <w:basedOn w:val="Normal"/>
    <w:qFormat/>
    <w:pPr>
      <w:numPr>
        <w:ilvl w:val="0"/>
        <w:numId w:val="9"/>
      </w:numPr>
    </w:pPr>
    <w:rPr>
      <w:lang w:val="en-US"/>
    </w:rPr>
  </w:style>
  <w:style w:type="paragraph" w:styleId="Bullet2">
    <w:name w:val="Bullet 2"/>
    <w:basedOn w:val="Normal"/>
    <w:qFormat/>
    <w:pPr>
      <w:numPr>
        <w:ilvl w:val="0"/>
        <w:numId w:val="3"/>
      </w:numPr>
    </w:pPr>
    <w:rPr>
      <w:lang w:val="en-US"/>
    </w:rPr>
  </w:style>
  <w:style w:type="paragraph" w:styleId="Bullet3">
    <w:name w:val="Bullet 3"/>
    <w:basedOn w:val="Normal"/>
    <w:qFormat/>
    <w:pPr>
      <w:numPr>
        <w:ilvl w:val="0"/>
        <w:numId w:val="7"/>
      </w:numPr>
    </w:pPr>
    <w:rPr>
      <w:lang w:val="en-US"/>
    </w:rPr>
  </w:style>
  <w:style w:type="paragraph" w:styleId="Indent1">
    <w:name w:val="Indent 1"/>
    <w:basedOn w:val="Normal"/>
    <w:qFormat/>
    <w:pPr>
      <w:ind w:hanging="0" w:start="720" w:end="0"/>
    </w:pPr>
    <w:rPr>
      <w:lang w:val="en-US"/>
    </w:rPr>
  </w:style>
  <w:style w:type="paragraph" w:styleId="Indent2">
    <w:name w:val="Indent 2"/>
    <w:basedOn w:val="Normal"/>
    <w:qFormat/>
    <w:pPr>
      <w:ind w:hanging="0" w:start="1440" w:end="0"/>
    </w:pPr>
    <w:rPr>
      <w:lang w:val="en-US"/>
    </w:rPr>
  </w:style>
  <w:style w:type="paragraph" w:styleId="Indent3">
    <w:name w:val="Indent 3"/>
    <w:basedOn w:val="Normal"/>
    <w:qFormat/>
    <w:pPr>
      <w:ind w:hanging="0" w:start="2160" w:end="0"/>
    </w:pPr>
    <w:rPr>
      <w:lang w:val="en-US"/>
    </w:rPr>
  </w:style>
  <w:style w:type="paragraph" w:styleId="TableIndent4">
    <w:name w:val="Table Indent 4"/>
    <w:basedOn w:val="Normal"/>
    <w:qFormat/>
    <w:pPr>
      <w:ind w:hanging="0" w:start="1440" w:end="0"/>
    </w:pPr>
    <w:rPr/>
  </w:style>
  <w:style w:type="paragraph" w:styleId="MajorHead">
    <w:name w:val="Major Head"/>
    <w:basedOn w:val="Normal"/>
    <w:next w:val="Normal"/>
    <w:qFormat/>
    <w:pPr>
      <w:keepNext w:val="true"/>
      <w:keepLines/>
      <w:spacing w:lineRule="atLeast" w:line="330" w:before="240" w:after="120"/>
    </w:pPr>
    <w:rPr>
      <w:b/>
      <w:sz w:val="28"/>
      <w:lang w:val="en-US"/>
    </w:rPr>
  </w:style>
  <w:style w:type="paragraph" w:styleId="MinorHead">
    <w:name w:val="Minor Head"/>
    <w:basedOn w:val="Normal"/>
    <w:next w:val="Normal"/>
    <w:qFormat/>
    <w:pPr>
      <w:keepNext w:val="true"/>
      <w:keepLines/>
      <w:spacing w:before="120" w:after="0"/>
    </w:pPr>
    <w:rPr>
      <w:b/>
      <w:lang w:val="en-US"/>
    </w:rPr>
  </w:style>
  <w:style w:type="paragraph" w:styleId="TableBullet3">
    <w:name w:val="Table Bullet 3"/>
    <w:basedOn w:val="Bullet3"/>
    <w:qFormat/>
    <w:pPr>
      <w:numPr>
        <w:ilvl w:val="0"/>
        <w:numId w:val="11"/>
      </w:numPr>
    </w:pPr>
    <w:rPr/>
  </w:style>
  <w:style w:type="paragraph" w:styleId="TableBullet1">
    <w:name w:val="Table Bullet 1"/>
    <w:basedOn w:val="Bullet1"/>
    <w:qFormat/>
    <w:pPr>
      <w:numPr>
        <w:ilvl w:val="0"/>
        <w:numId w:val="14"/>
      </w:numPr>
    </w:pPr>
    <w:rPr/>
  </w:style>
  <w:style w:type="paragraph" w:styleId="TableBullet2">
    <w:name w:val="Table Bullet 2"/>
    <w:basedOn w:val="Bullet2"/>
    <w:qFormat/>
    <w:pPr>
      <w:numPr>
        <w:ilvl w:val="0"/>
        <w:numId w:val="13"/>
      </w:numPr>
      <w:tabs>
        <w:tab w:val="clear" w:pos="357"/>
      </w:tabs>
    </w:pPr>
    <w:rPr/>
  </w:style>
  <w:style w:type="paragraph" w:styleId="TableIndent1">
    <w:name w:val="Table Indent 1"/>
    <w:basedOn w:val="Normal"/>
    <w:qFormat/>
    <w:pPr>
      <w:ind w:hanging="0" w:start="357" w:end="0"/>
    </w:pPr>
    <w:rPr/>
  </w:style>
  <w:style w:type="paragraph" w:styleId="TableIndent2">
    <w:name w:val="Table Indent 2"/>
    <w:basedOn w:val="Indent2"/>
    <w:qFormat/>
    <w:pPr>
      <w:ind w:hanging="0" w:start="720" w:end="0"/>
    </w:pPr>
    <w:rPr/>
  </w:style>
  <w:style w:type="paragraph" w:styleId="TableIndent3">
    <w:name w:val="Table Indent 3"/>
    <w:basedOn w:val="Indent3"/>
    <w:qFormat/>
    <w:pPr>
      <w:ind w:hanging="0" w:start="1077" w:end="0"/>
    </w:pPr>
    <w:rPr/>
  </w:style>
  <w:style w:type="paragraph" w:styleId="Address">
    <w:name w:val="Address"/>
    <w:basedOn w:val="Normal"/>
    <w:qFormat/>
    <w:pPr>
      <w:pBdr>
        <w:left w:val="single" w:sz="4" w:space="9" w:color="000000"/>
      </w:pBdr>
      <w:spacing w:lineRule="exact" w:line="200"/>
    </w:pPr>
    <w:rPr>
      <w:sz w:val="16"/>
      <w:lang w:val="en-US"/>
    </w:rPr>
  </w:style>
  <w:style w:type="paragraph" w:styleId="FormLabel">
    <w:name w:val="Form Label"/>
    <w:basedOn w:val="Normal"/>
    <w:qFormat/>
    <w:pPr>
      <w:spacing w:lineRule="exact" w:line="280"/>
    </w:pPr>
    <w:rPr>
      <w:sz w:val="18"/>
      <w:lang w:val="en-US"/>
    </w:rPr>
  </w:style>
  <w:style w:type="paragraph" w:styleId="Line">
    <w:name w:val="Line"/>
    <w:basedOn w:val="Normal"/>
    <w:qFormat/>
    <w:pPr>
      <w:pBdr>
        <w:top w:val="single" w:sz="4" w:space="1" w:color="000000"/>
      </w:pBdr>
      <w:spacing w:lineRule="auto" w:line="240" w:before="120" w:after="60"/>
      <w:ind w:hanging="0" w:start="0" w:end="-1701"/>
    </w:pPr>
    <w:rPr>
      <w:sz w:val="2"/>
      <w:lang w:val="en-US"/>
    </w:rPr>
  </w:style>
  <w:style w:type="paragraph" w:styleId="Footer">
    <w:name w:val="footer"/>
    <w:basedOn w:val="Normal"/>
    <w:pPr>
      <w:spacing w:lineRule="auto" w:line="240"/>
    </w:pPr>
    <w:rPr>
      <w:lang w:val="en-US"/>
    </w:rPr>
  </w:style>
  <w:style w:type="paragraph" w:styleId="FootnoteText">
    <w:name w:val="footnote text"/>
    <w:basedOn w:val="Normal"/>
    <w:pPr>
      <w:spacing w:lineRule="exact" w:line="200"/>
    </w:pPr>
    <w:rPr>
      <w:sz w:val="20"/>
      <w:lang w:val="en-US"/>
    </w:rPr>
  </w:style>
  <w:style w:type="paragraph" w:styleId="MacroText">
    <w:name w:val="Macro Text"/>
    <w:qFormat/>
    <w:pPr>
      <w:widowControl/>
      <w:tabs>
        <w:tab w:val="clear" w:pos="35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90"/>
    </w:pPr>
    <w:rPr>
      <w:rFonts w:ascii="Courier New" w:hAnsi="Courier New" w:eastAsia="Times New Roman" w:cs="Courier New"/>
      <w:color w:val="auto"/>
      <w:sz w:val="20"/>
      <w:szCs w:val="20"/>
      <w:lang w:val="en-US" w:bidi="ar-SA" w:eastAsia="zh-CN"/>
    </w:rPr>
  </w:style>
  <w:style w:type="paragraph" w:styleId="BodyText3">
    <w:name w:val="Body Text 3"/>
    <w:basedOn w:val="Normal"/>
    <w:qFormat/>
    <w:pPr>
      <w:spacing w:lineRule="auto" w:line="240"/>
    </w:pPr>
    <w:rPr>
      <w:sz w:val="22"/>
      <w:lang w:val="en-GB"/>
    </w:rPr>
  </w:style>
  <w:style w:type="paragraph" w:styleId="BodyText2">
    <w:name w:val="Body Text 2"/>
    <w:basedOn w:val="Normal"/>
    <w:qFormat/>
    <w:pPr>
      <w:spacing w:lineRule="auto" w:line="240"/>
    </w:pPr>
    <w:rPr>
      <w:b/>
    </w:rPr>
  </w:style>
  <w:style w:type="paragraph" w:styleId="BodyTextIndent">
    <w:name w:val="Body Text Indent"/>
    <w:basedOn w:val="Normal"/>
    <w:pPr>
      <w:ind w:hanging="0" w:start="252" w:end="0"/>
    </w:pPr>
    <w:rPr/>
  </w:style>
  <w:style w:type="paragraph" w:styleId="BodyTextIndent2">
    <w:name w:val="Body Text Indent 2"/>
    <w:basedOn w:val="Normal"/>
    <w:qFormat/>
    <w:pPr>
      <w:ind w:hanging="0" w:start="270" w:end="0"/>
    </w:pPr>
    <w:rPr/>
  </w:style>
  <w:style w:type="paragraph" w:styleId="BodyTextIndent3">
    <w:name w:val="Body Text Indent 3"/>
    <w:basedOn w:val="Normal"/>
    <w:qFormat/>
    <w:pPr>
      <w:ind w:hanging="0" w:start="45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wmf"/><Relationship Id="rId3" Type="http://schemas.openxmlformats.org/officeDocument/2006/relationships/oleObject" Target="embeddings/oleObject4.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PwC_Letter</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2001-02-20T19:18:00Z</dcterms:created>
  <dc:creator>00055603</dc:creator>
  <dc:description/>
  <dc:language>en-CA</dc:language>
  <cp:lastModifiedBy>PricewaterhouseCoopers</cp:lastModifiedBy>
  <cp:lastPrinted>2001-02-23T10:29:00Z</cp:lastPrinted>
  <dcterms:modified xsi:type="dcterms:W3CDTF">2001-02-23T13:59:00Z</dcterms:modified>
  <cp:revision>5</cp:revision>
  <dc:subject>  </dc:subject>
  <dc:title>October 6, 1999</dc:title>
</cp:coreProperties>
</file>