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7" w:type="dxa"/>
        <w:jc w:val="start"/>
        <w:tblInd w:w="-90" w:type="dxa"/>
        <w:tblLayout w:type="fixed"/>
        <w:tblCellMar>
          <w:top w:w="0" w:type="dxa"/>
          <w:start w:w="0" w:type="dxa"/>
          <w:bottom w:w="0" w:type="dxa"/>
          <w:end w:w="0" w:type="dxa"/>
        </w:tblCellMar>
      </w:tblPr>
      <w:tblGrid>
        <w:gridCol w:w="4147"/>
        <w:gridCol w:w="5400"/>
      </w:tblGrid>
      <w:tr>
        <w:trPr>
          <w:trHeight w:val="900" w:hRule="exact"/>
        </w:trPr>
        <w:tc>
          <w:tcPr>
            <w:tcW w:w="4147" w:type="dxa"/>
            <w:tcBorders/>
          </w:tcPr>
          <w:p>
            <w:pPr>
              <w:pStyle w:val="LetterDate"/>
              <w:spacing w:before="360" w:after="0"/>
              <w:ind w:start="86" w:end="115"/>
              <w:rPr>
                <w:lang w:val="en-CA"/>
              </w:rPr>
            </w:pPr>
            <w:r>
              <w:rPr>
                <w:lang w:val="en-CA"/>
              </w:rPr>
              <w:t>November 2, 2001</w:t>
            </w:r>
          </w:p>
        </w:tc>
        <w:tc>
          <w:tcPr>
            <w:tcW w:w="5400" w:type="dxa"/>
            <w:tcBorders/>
          </w:tcPr>
          <w:p>
            <w:pPr>
              <w:pStyle w:val="Normal"/>
              <w:spacing w:before="360" w:after="0"/>
              <w:ind w:end="72"/>
              <w:jc w:val="end"/>
              <w:rPr>
                <w:sz w:val="16"/>
              </w:rPr>
            </w:pPr>
            <w:r>
              <w:rPr>
                <w:sz w:val="16"/>
              </w:rPr>
              <w:t>Client-Matter:  23743-030</w:t>
            </w:r>
          </w:p>
        </w:tc>
      </w:tr>
    </w:tbl>
    <w:p>
      <w:pPr>
        <w:pStyle w:val="Address"/>
        <w:rPr/>
      </w:pPr>
      <w:r>
        <w:rPr/>
      </w:r>
    </w:p>
    <w:p>
      <w:pPr>
        <w:pStyle w:val="Address"/>
        <w:rPr/>
      </w:pPr>
      <w:r>
        <w:rPr/>
      </w:r>
    </w:p>
    <w:p>
      <w:pPr>
        <w:pStyle w:val="Address"/>
        <w:rPr/>
      </w:pPr>
      <w:r>
        <w:rPr/>
      </w:r>
    </w:p>
    <w:p>
      <w:pPr>
        <w:pStyle w:val="Address"/>
        <w:rPr/>
      </w:pPr>
      <w:r>
        <w:rPr/>
        <w:t>Docket Clerk</w:t>
      </w:r>
    </w:p>
    <w:p>
      <w:pPr>
        <w:pStyle w:val="Address"/>
        <w:rPr/>
      </w:pPr>
      <w:r>
        <w:rPr/>
        <w:t>California Public Utilities Commission</w:t>
      </w:r>
    </w:p>
    <w:p>
      <w:pPr>
        <w:pStyle w:val="Address"/>
        <w:rPr/>
      </w:pPr>
      <w:r>
        <w:rPr/>
        <w:t>505 Van Ness Avenue</w:t>
      </w:r>
    </w:p>
    <w:p>
      <w:pPr>
        <w:pStyle w:val="Address"/>
        <w:rPr/>
      </w:pPr>
      <w:r>
        <w:rPr/>
        <w:t>San Francisco, CA  94102-3214</w:t>
      </w:r>
    </w:p>
    <w:p>
      <w:pPr>
        <w:pStyle w:val="ReLine"/>
        <w:ind w:end="113"/>
        <w:rPr>
          <w:b/>
        </w:rPr>
      </w:pPr>
      <w:r>
        <w:rPr>
          <w:b/>
        </w:rPr>
        <w:t>Re:</w:t>
        <w:tab/>
        <w:t>Comments of the City of Corona (A.98-07-003, A.98-07-006, A.98-07-026)</w:t>
      </w:r>
    </w:p>
    <w:p>
      <w:pPr>
        <w:pStyle w:val="Salutation"/>
        <w:rPr/>
      </w:pPr>
      <w:r>
        <w:rPr/>
        <w:t>Dear Sir or Madam:</w:t>
      </w:r>
    </w:p>
    <w:p>
      <w:pPr>
        <w:pStyle w:val="BodyText"/>
        <w:rPr/>
      </w:pPr>
      <w:r>
        <w:rPr/>
        <w:t xml:space="preserve">We are enclosing for filing with the Commission the original and five copies of the “Comments of the City of Corona” in the above-referenced proceeding.  </w:t>
      </w:r>
    </w:p>
    <w:p>
      <w:pPr>
        <w:pStyle w:val="BodyText"/>
        <w:rPr/>
      </w:pPr>
      <w:r>
        <w:rPr/>
        <w:t xml:space="preserve">Please file-stamp and return a copy for our records.  A self-addressed, stamped envelope is enclosed for your convenience.  </w:t>
      </w:r>
    </w:p>
    <w:p>
      <w:pPr>
        <w:pStyle w:val="BodyText"/>
        <w:rPr/>
      </w:pPr>
      <w:r>
        <w:rPr/>
        <w:t xml:space="preserve">Thank you for your assistance.  </w:t>
      </w:r>
    </w:p>
    <w:p>
      <w:pPr>
        <w:pStyle w:val="LetterSignature"/>
        <w:rPr/>
      </w:pPr>
      <w:r>
        <w:rPr/>
        <w:t>Sincerely,</w:t>
      </w:r>
    </w:p>
    <w:p>
      <w:pPr>
        <w:pStyle w:val="LetterSignature"/>
        <w:spacing w:before="720" w:after="0"/>
        <w:rPr/>
      </w:pPr>
      <w:r>
        <w:rPr/>
        <w:t>Randall W. Keen</w:t>
      </w:r>
    </w:p>
    <w:p>
      <w:pPr>
        <w:pStyle w:val="LetterSignature"/>
        <w:rPr/>
      </w:pPr>
      <w:r>
        <w:rPr/>
        <w:t>Manatt, Phelps &amp; Phillips, LLP</w:t>
      </w:r>
    </w:p>
    <w:p>
      <w:pPr>
        <w:pStyle w:val="LetterSignature"/>
        <w:spacing w:before="240" w:after="0"/>
        <w:ind w:start="0" w:end="0"/>
        <w:rPr/>
      </w:pPr>
      <w:r>
        <w:rPr/>
        <w:t>RWK:kss</w:t>
      </w:r>
    </w:p>
    <w:p>
      <w:pPr>
        <w:pStyle w:val="LetterSignature"/>
        <w:ind w:start="0" w:end="0"/>
        <w:rPr/>
      </w:pPr>
      <w:r>
        <w:rPr/>
        <w:t>Enclosures</w:t>
      </w:r>
    </w:p>
    <w:p>
      <w:pPr>
        <w:sectPr>
          <w:headerReference w:type="default" r:id="rId2"/>
          <w:headerReference w:type="first" r:id="rId3"/>
          <w:footerReference w:type="default" r:id="rId4"/>
          <w:footerReference w:type="first" r:id="rId5"/>
          <w:type w:val="nextPage"/>
          <w:pgSz w:w="12240" w:h="15840"/>
          <w:pgMar w:left="1440" w:right="1440" w:gutter="0" w:header="1080" w:top="1872" w:footer="720" w:bottom="1872"/>
          <w:pgNumType w:start="1" w:fmt="decimal"/>
          <w:formProt w:val="false"/>
          <w:titlePg/>
          <w:textDirection w:val="lrTb"/>
          <w:docGrid w:type="default" w:linePitch="360" w:charSpace="0"/>
        </w:sectPr>
        <w:pStyle w:val="LetterSignature"/>
        <w:spacing w:before="240" w:after="0"/>
        <w:ind w:hanging="720" w:start="720" w:end="0"/>
        <w:rPr/>
      </w:pPr>
      <w:r>
        <w:rPr/>
        <w:t>cc:</w:t>
        <w:tab/>
        <w:t>David Huard</w:t>
        <w:br/>
        <w:t>Commissioner Carl Wood</w:t>
        <w:br/>
        <w:t>Administrative Law Judge Robert Barnett</w:t>
      </w:r>
    </w:p>
    <w:p>
      <w:pPr>
        <w:pStyle w:val="Normal"/>
        <w:jc w:val="center"/>
        <w:rPr>
          <w:b/>
        </w:rPr>
      </w:pPr>
      <w:r>
        <w:rPr>
          <w:b/>
        </w:rPr>
      </w:r>
    </w:p>
    <w:p>
      <w:pPr>
        <w:pStyle w:val="Normal"/>
        <w:jc w:val="center"/>
        <w:rPr>
          <w:b/>
        </w:rPr>
      </w:pPr>
      <w:r>
        <w:rPr>
          <w:b/>
        </w:rPr>
        <w:t>BEFORE THE PUBLIC UTILITIES COMMISSION OF THE STATE OF CALIFORNIA</w:t>
      </w:r>
    </w:p>
    <w:p>
      <w:pPr>
        <w:pStyle w:val="Normal"/>
        <w:rPr>
          <w:b/>
        </w:rPr>
      </w:pPr>
      <w:r>
        <w:rPr>
          <w:b/>
        </w:rPr>
      </w:r>
    </w:p>
    <w:p>
      <w:pPr>
        <w:pStyle w:val="Normal"/>
        <w:rPr/>
      </w:pPr>
      <w:r>
        <w:rPr/>
      </w:r>
    </w:p>
    <w:p>
      <w:pPr>
        <w:pStyle w:val="Normal"/>
        <w:rPr/>
      </w:pPr>
      <w:r>
        <mc:AlternateContent>
          <mc:Choice Requires="wps">
            <w:drawing>
              <wp:anchor behindDoc="0" distT="0" distB="0" distL="114935" distR="114935" simplePos="0" locked="0" layoutInCell="1" allowOverlap="1" relativeHeight="2">
                <wp:simplePos x="0" y="0"/>
                <wp:positionH relativeFrom="column">
                  <wp:posOffset>3200400</wp:posOffset>
                </wp:positionH>
                <wp:positionV relativeFrom="paragraph">
                  <wp:posOffset>60960</wp:posOffset>
                </wp:positionV>
                <wp:extent cx="0" cy="5029200"/>
                <wp:effectExtent l="5080" t="0" r="5080" b="0"/>
                <wp:wrapNone/>
                <wp:docPr id="2" name=""/>
                <a:graphic xmlns:a="http://schemas.openxmlformats.org/drawingml/2006/main">
                  <a:graphicData uri="http://schemas.microsoft.com/office/word/2010/wordprocessingShape">
                    <wps:wsp>
                      <wps:cNvSpPr/>
                      <wps:spPr>
                        <a:xfrm>
                          <a:off x="0" y="0"/>
                          <a:ext cx="0" cy="5029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4.8pt" to="252pt,400.75pt" stroked="t" o:allowincell="f" style="position:absolute">
                <v:stroke color="black" weight="9360" joinstyle="miter" endcap="flat"/>
                <v:fill o:detectmouseclick="t" on="false"/>
                <w10:wrap type="none"/>
              </v:line>
            </w:pict>
          </mc:Fallback>
        </mc:AlternateContent>
      </w:r>
      <w:r>
        <w:rPr/>
        <w:t xml:space="preserve">Application of Pacific Gas and Electric Company    </w:t>
      </w:r>
    </w:p>
    <w:p>
      <w:pPr>
        <w:pStyle w:val="Normal"/>
        <w:rPr/>
      </w:pPr>
      <w:r>
        <w:rPr/>
        <w:t>for verification, consolidation, and approval of</w:t>
        <w:tab/>
        <w:tab/>
        <w:t>Application 98-07-003</w:t>
      </w:r>
    </w:p>
    <w:p>
      <w:pPr>
        <w:pStyle w:val="Normal"/>
        <w:rPr/>
      </w:pPr>
      <w:r>
        <w:rPr/>
        <w:t>costs and revenues in the transition revenue</w:t>
        <w:tab/>
        <w:tab/>
        <w:tab/>
        <w:t xml:space="preserve">   (Filed July 1, 1998)</w:t>
      </w:r>
    </w:p>
    <w:p>
      <w:pPr>
        <w:pStyle w:val="Normal"/>
        <w:rPr/>
      </w:pPr>
      <w:r>
        <w:rPr/>
        <w:t>account.</w:t>
      </w:r>
    </w:p>
    <w:p>
      <w:pPr>
        <w:pStyle w:val="Normal"/>
        <w:rPr/>
      </w:pPr>
      <w:r>
        <w:rPr/>
        <w:t>__________________________________________</w:t>
      </w:r>
    </w:p>
    <w:p>
      <w:pPr>
        <w:pStyle w:val="Normal"/>
        <w:rPr/>
      </w:pPr>
      <w:r>
        <w:rPr/>
      </w:r>
    </w:p>
    <w:p>
      <w:pPr>
        <w:pStyle w:val="Normal"/>
        <w:rPr/>
      </w:pPr>
      <w:r>
        <w:rPr/>
        <w:t>In the Matter of The Revenue Adjustment</w:t>
      </w:r>
    </w:p>
    <w:p>
      <w:pPr>
        <w:pStyle w:val="Normal"/>
        <w:rPr/>
      </w:pPr>
      <w:r>
        <w:rPr/>
        <w:t>Proceeding (RAP) application of San Diego Gas</w:t>
      </w:r>
    </w:p>
    <w:p>
      <w:pPr>
        <w:pStyle w:val="Normal"/>
        <w:rPr/>
      </w:pPr>
      <w:r>
        <w:rPr/>
        <w:t>and Electric Company (U 902-E) for approval of</w:t>
      </w:r>
    </w:p>
    <w:p>
      <w:pPr>
        <w:pStyle w:val="Normal"/>
        <w:rPr/>
      </w:pPr>
      <w:r>
        <w:rPr/>
        <w:t xml:space="preserve">1) Consolidated changes in 1999 authorized </w:t>
        <w:tab/>
        <w:tab/>
        <w:tab/>
        <w:t>Application 98-07-006</w:t>
      </w:r>
    </w:p>
    <w:p>
      <w:pPr>
        <w:pStyle w:val="Normal"/>
        <w:rPr/>
      </w:pPr>
      <w:r>
        <w:rPr/>
        <w:t>revenue and revised rate components; 2) the CTC</w:t>
        <w:tab/>
        <w:tab/>
        <w:t xml:space="preserve">  (Filed July 1, 1998)</w:t>
      </w:r>
    </w:p>
    <w:p>
      <w:pPr>
        <w:pStyle w:val="Normal"/>
        <w:rPr/>
      </w:pPr>
      <w:r>
        <w:rPr/>
        <w:t>rate component and associated headroom</w:t>
      </w:r>
    </w:p>
    <w:p>
      <w:pPr>
        <w:pStyle w:val="Normal"/>
        <w:rPr/>
      </w:pPr>
      <w:r>
        <w:rPr/>
        <w:t xml:space="preserve">calculations; 3) RGTCOMA balances; 4) PX </w:t>
      </w:r>
    </w:p>
    <w:p>
      <w:pPr>
        <w:pStyle w:val="Normal"/>
        <w:rPr/>
      </w:pPr>
      <w:r>
        <w:rPr/>
        <w:t>credit computations; 5) disposition of various</w:t>
      </w:r>
    </w:p>
    <w:p>
      <w:pPr>
        <w:pStyle w:val="Normal"/>
        <w:rPr/>
      </w:pPr>
      <w:r>
        <w:rPr/>
        <w:t>balancing/memorandum accounts; and 6) electric</w:t>
      </w:r>
    </w:p>
    <w:p>
      <w:pPr>
        <w:pStyle w:val="Normal"/>
        <w:rPr/>
      </w:pPr>
      <w:r>
        <w:rPr/>
        <w:t xml:space="preserve">revenue allocation and rate design changes.  </w:t>
      </w:r>
    </w:p>
    <w:p>
      <w:pPr>
        <w:pStyle w:val="Normal"/>
        <w:rPr/>
      </w:pPr>
      <w:r>
        <w:rPr/>
        <w:t>__________________________________________</w:t>
      </w:r>
    </w:p>
    <w:p>
      <w:pPr>
        <w:pStyle w:val="Normal"/>
        <w:rPr/>
      </w:pPr>
      <w:r>
        <w:rPr/>
      </w:r>
    </w:p>
    <w:p>
      <w:pPr>
        <w:pStyle w:val="Normal"/>
        <w:rPr/>
      </w:pPr>
      <w:r>
        <w:rPr/>
        <w:t xml:space="preserve">Application of Southern California Edison </w:t>
      </w:r>
    </w:p>
    <w:p>
      <w:pPr>
        <w:pStyle w:val="Normal"/>
        <w:rPr/>
      </w:pPr>
      <w:r>
        <w:rPr/>
        <w:t>Company (U 338-E) to:  1) consolidated authorized</w:t>
      </w:r>
    </w:p>
    <w:p>
      <w:pPr>
        <w:pStyle w:val="Normal"/>
        <w:rPr/>
      </w:pPr>
      <w:r>
        <w:rPr/>
        <w:t xml:space="preserve">rates and revenue requirements; 2) verify </w:t>
      </w:r>
    </w:p>
    <w:p>
      <w:pPr>
        <w:pStyle w:val="Normal"/>
        <w:rPr/>
      </w:pPr>
      <w:r>
        <w:rPr/>
        <w:t>residual competition transition charge revenues;</w:t>
        <w:tab/>
        <w:tab/>
        <w:t>Application 98-07-026</w:t>
      </w:r>
    </w:p>
    <w:p>
      <w:pPr>
        <w:pStyle w:val="Normal"/>
        <w:rPr/>
      </w:pPr>
      <w:r>
        <w:rPr/>
        <w:t xml:space="preserve">3) review and dispose of amounts in various </w:t>
        <w:tab/>
        <w:tab/>
        <w:t xml:space="preserve">        (Filed July 1, 1998; Petition</w:t>
      </w:r>
    </w:p>
    <w:p>
      <w:pPr>
        <w:pStyle w:val="Normal"/>
        <w:rPr/>
      </w:pPr>
      <w:r>
        <w:rPr/>
        <w:t>balancing and memorandum accounts; 4) verify</w:t>
        <w:tab/>
        <w:tab/>
        <w:t>for Modification filed</w:t>
      </w:r>
    </w:p>
    <w:p>
      <w:pPr>
        <w:pStyle w:val="Normal"/>
        <w:rPr/>
      </w:pPr>
      <w:r>
        <w:rPr/>
        <w:t>regulatory balances transferred to the transition</w:t>
        <w:tab/>
        <w:tab/>
        <w:t xml:space="preserve">    January 25, 2001)</w:t>
      </w:r>
    </w:p>
    <w:p>
      <w:pPr>
        <w:pStyle w:val="Normal"/>
        <w:rPr/>
      </w:pPr>
      <w:r>
        <w:rPr/>
        <w:t>cost balancing account on January 1, 1998; and</w:t>
      </w:r>
    </w:p>
    <w:p>
      <w:pPr>
        <w:pStyle w:val="Normal"/>
        <w:rPr/>
      </w:pPr>
      <w:r>
        <w:rPr/>
        <w:t xml:space="preserve">5) propose rate recovery for Santa Catalina </w:t>
      </w:r>
    </w:p>
    <w:p>
      <w:pPr>
        <w:pStyle w:val="Normal"/>
        <w:rPr/>
      </w:pPr>
      <w:r>
        <w:rPr/>
        <w:t xml:space="preserve">Island diesel fuel costs.  </w:t>
      </w:r>
    </w:p>
    <w:p>
      <w:pPr>
        <w:pStyle w:val="Normal"/>
        <w:rPr/>
      </w:pPr>
      <w:r>
        <w:rPr/>
        <w:t>__________________________________________</w:t>
      </w:r>
    </w:p>
    <w:p>
      <w:pPr>
        <w:pStyle w:val="Normal"/>
        <w:rPr/>
      </w:pPr>
      <w:r>
        <w:rPr/>
      </w:r>
    </w:p>
    <w:p>
      <w:pPr>
        <w:pStyle w:val="Normal"/>
        <w:jc w:val="center"/>
        <w:rPr>
          <w:b/>
          <w:u w:val="single"/>
        </w:rPr>
      </w:pPr>
      <w:r>
        <w:rPr>
          <w:b/>
          <w:u w:val="single"/>
        </w:rPr>
        <w:t>COMMENTS OF THE CITY OF CORONA</w:t>
      </w:r>
    </w:p>
    <w:p>
      <w:pPr>
        <w:pStyle w:val="Normal"/>
        <w:rPr>
          <w:b/>
          <w:u w:val="single"/>
        </w:rPr>
      </w:pPr>
      <w:r>
        <w:rPr>
          <w:b/>
          <w:u w:val="single"/>
        </w:rPr>
      </w:r>
    </w:p>
    <w:p>
      <w:pPr>
        <w:pStyle w:val="Normal"/>
        <w:spacing w:lineRule="auto" w:line="480"/>
        <w:rPr/>
      </w:pPr>
      <w:r>
        <w:rPr/>
        <w:tab/>
        <w:t xml:space="preserve">Pursuant to the “Assigned Commissioner’s Ruling Regarding Comments on Certain Direct Access Issues” (“ACR”) issued October 23, 2001 in this proceeding, the City of Corona, California (“Corona”) hereby files comments in response.  </w:t>
      </w:r>
    </w:p>
    <w:p>
      <w:pPr>
        <w:pStyle w:val="Normal"/>
        <w:spacing w:lineRule="auto" w:line="480"/>
        <w:rPr/>
      </w:pPr>
      <w:r>
        <w:rPr/>
      </w:r>
    </w:p>
    <w:p>
      <w:pPr>
        <w:pStyle w:val="Normal"/>
        <w:spacing w:lineRule="auto" w:line="480"/>
        <w:rPr/>
      </w:pPr>
      <w:r>
        <w:rPr/>
        <w:tab/>
      </w:r>
      <w:r>
        <w:rPr>
          <w:b/>
        </w:rPr>
        <w:t>1.</w:t>
        <w:tab/>
      </w:r>
      <w:r>
        <w:rPr>
          <w:b/>
          <w:u w:val="single"/>
        </w:rPr>
        <w:t>Interests of Corona</w:t>
      </w:r>
      <w:r>
        <w:rPr>
          <w:b/>
        </w:rPr>
        <w:t>.</w:t>
      </w:r>
    </w:p>
    <w:p>
      <w:pPr>
        <w:pStyle w:val="Normal"/>
        <w:spacing w:lineRule="auto" w:line="480"/>
        <w:rPr/>
      </w:pPr>
      <w:r>
        <w:rPr/>
        <w:tab/>
        <w:t xml:space="preserve">Corona is a municipality in western Riverside County with a population of approximately 135,000 people.  Corona was founded in 1896 with a population then primarily involved in agricultural concerns.  Today, Corona has established itself as a balanced community, working hard to attract manufacturing businesses, which employ 54,000 people.  These employers have been hard hit by both the huge rate increases ordered by this Commission and the pending recession.  Some of these employers have already moved from Corona as a direct result of energy cost increases, still others are leaving the State.  Corona recognizes that these businesses are the economic engine that drives California’s economy, and believes that their loss will represent the ruin of the economic vigor of our State.  For these reasons, like similar cities, Corona has aggressively sought ways to help its businesses and residents find ways to alleviate the impact of the highest rate increase ever ordered in the history of the State, effective June 1, 2001, and to deal with what was expected to be a significant shortage of energy.  In that regard, Corona pursued the construction of a small power producing station with the intent to help the State in its crisis by providing additional power as well as assist residences and businesses within the City.  However, the California Department of Water Resources (“DWR”) abruptly ceased its power purchases.  At such time, Corona was required to change its plan to aid its businesses and residents.  The most logical approach was to provide aggregated commodity service through the direct access program to </w:t>
      </w:r>
      <w:r>
        <w:rPr>
          <w:u w:val="single"/>
        </w:rPr>
        <w:t>all</w:t>
      </w:r>
      <w:r>
        <w:rPr/>
        <w:t xml:space="preserve"> city businesses.  Prior to suspension of this program by the Commission, Corona contracted for approximately 25 megawatts of power to serve 51 businesses within its community. </w:t>
      </w:r>
    </w:p>
    <w:p>
      <w:pPr>
        <w:pStyle w:val="Normal"/>
        <w:spacing w:lineRule="auto" w:line="480"/>
        <w:rPr/>
      </w:pPr>
      <w:r>
        <w:rPr/>
        <w:tab/>
        <w:t xml:space="preserve">Thus, Corona is significantly affected by the Commission’s decision to suspend the direct access program effective September 20, 2001, and will be dramatically and negatively impacted by any ill-advised Commission determination to establish an earlier date for suspension of the program.  </w:t>
      </w:r>
    </w:p>
    <w:p>
      <w:pPr>
        <w:pStyle w:val="Normal"/>
        <w:spacing w:lineRule="auto" w:line="480"/>
        <w:rPr/>
      </w:pPr>
      <w:r>
        <w:rPr/>
        <w:tab/>
      </w:r>
      <w:r>
        <w:rPr>
          <w:b/>
        </w:rPr>
        <w:t>2.</w:t>
        <w:tab/>
      </w:r>
      <w:r>
        <w:rPr>
          <w:b/>
          <w:u w:val="single"/>
        </w:rPr>
        <w:t>Response to Questions</w:t>
      </w:r>
      <w:r>
        <w:rPr>
          <w:b/>
        </w:rPr>
        <w:t xml:space="preserve">.  </w:t>
      </w:r>
    </w:p>
    <w:p>
      <w:pPr>
        <w:pStyle w:val="Normal"/>
        <w:spacing w:lineRule="auto" w:line="480"/>
        <w:rPr/>
      </w:pPr>
      <w:r>
        <w:rPr/>
        <w:tab/>
        <w:t xml:space="preserve">In the ACR, eight questions are presented for comment by interested parties.  Corona provides the following comments to these questions.  </w:t>
      </w:r>
    </w:p>
    <w:p>
      <w:pPr>
        <w:pStyle w:val="Normal"/>
        <w:spacing w:lineRule="auto" w:line="480"/>
        <w:rPr/>
      </w:pPr>
      <w:r>
        <w:rPr/>
        <w:tab/>
        <w:tab/>
        <w:t>(1)</w:t>
        <w:tab/>
        <w:t xml:space="preserve">In Questions 1 and 2, the ACR poses the question of whether the Commission should choose an earlier date than September 20, 2001, for suspending the program and what earlier date is appropriate and why.  </w:t>
      </w:r>
    </w:p>
    <w:p>
      <w:pPr>
        <w:pStyle w:val="Normal"/>
        <w:spacing w:lineRule="auto" w:line="480"/>
        <w:ind w:firstLine="2160" w:end="0"/>
        <w:rPr/>
      </w:pPr>
      <w:r>
        <w:rPr/>
        <w:t xml:space="preserve">A fundamental tenet of due process and fair dealing within the United States is the concept that no law shall have an ex post facto effect.  Further, a tenet of regulatory law is that a Commission with regulatory authority may not establish rules which have retroactive implications.  The direct access program was established by statute and implemented by Commission rule.  It is clear that the program was in full force and effect until such time as the Commission, presumably implementing AB1X, </w:t>
      </w:r>
      <w:r>
        <w:rPr>
          <w:u w:val="single"/>
        </w:rPr>
        <w:t>chose</w:t>
      </w:r>
      <w:r>
        <w:rPr/>
        <w:t xml:space="preserve"> to suspend the program.  There is no provision within the legislation utilized by the Commission requiring it to suspend the program or which even specifically provides a date by which direct access must be suspended.  Therefore, any future action by the Commission to terminate contracts and suspend the direct access program at a date prior to the date on which the Commission formally acted is equivalent to an ex post facto law and constitutes retroactive ratemaking.  </w:t>
      </w:r>
    </w:p>
    <w:p>
      <w:pPr>
        <w:pStyle w:val="Normal"/>
        <w:spacing w:lineRule="auto" w:line="480"/>
        <w:rPr/>
      </w:pPr>
      <w:r>
        <w:rPr/>
        <w:tab/>
        <w:tab/>
        <w:tab/>
        <w:t xml:space="preserve">Corona expects that this issue will be fully briefed by a variety of parties defending the direct access program.  However, in addition to the legal impediments to the Commission’s choice of a date earlier than the actual date on which the Commission voted, the Commission must consider the equities of the situation.  The Commissions would effectively nullify numerous contracts entered into by parties attempting to deal, in good faith, with the energy crisis at a time in which the State may have been unable to fully cope in a constructive manner.  For the Commission to choose a date earlier than the date in which it actually acted, would involve the termination and nullification of numerous private agreements and eliminate efforts by such innocent parties as the City of Corona to alleviate the impact of the energy crisis on its businesses and residents, and to assist the State in dealing with the energy crisis.  Flatly stated, any Commission action which suspends direct access at a date prior to the Commission’s actual order implementing such suspension will be both unfair and illegal.  </w:t>
      </w:r>
    </w:p>
    <w:p>
      <w:pPr>
        <w:pStyle w:val="Normal"/>
        <w:spacing w:lineRule="auto" w:line="480"/>
        <w:rPr/>
      </w:pPr>
      <w:r>
        <w:rPr/>
        <w:tab/>
        <w:tab/>
        <w:t>(2)</w:t>
        <w:tab/>
        <w:t xml:space="preserve">In Question 3, the ACR asks whether there are alternatives to suspending direct access as of the date before September 20, 2001 that would still alleviate cross-shifting.  Corona believes that there are no alternatives to suspending direct access as of the date before September 20, 2001.  However, Corona urges the Commission to consider reinstituting a limited form of direct access.  In Assembly Bill 9XX, the California Legislature overwhelmingly approved a limited form of direct access which would authorize a community choice aggregator to aggregate the electrical load of interested electricity consumers within its boundaries.  It would also provide that such aggregator pay specified amounts to DWR as defined.  Despite the fact of significant, if not overwhelming, support for this bill, the Governor vetoed the bill.  </w:t>
      </w:r>
    </w:p>
    <w:p>
      <w:pPr>
        <w:pStyle w:val="Normal"/>
        <w:spacing w:lineRule="auto" w:line="480"/>
        <w:rPr/>
      </w:pPr>
      <w:r>
        <w:rPr/>
        <w:tab/>
        <w:tab/>
        <w:tab/>
        <w:t xml:space="preserve">Underlying the Governor’s veto and, to a great extent, the Commission’s action in this proceeding, is the belief that significant costs of purchasing power by the DWR would be reallocated to customers who do not have the opportunity to take advantage of direct access or other programs.  As the Commission is fully aware, there are significant questions concerning the determination of the revenue requirements of DWR.  Indeed, many of the contracts underlying DWR’s revenue requirement have been reported to include a provision which allows the agreements to be terminated in the event that bonds are not issued by the State to guarantee the payment of such costs.  The Commission by its own action has precluded the issuance of those bonds.  Therefore, these contracts can be legally terminated.  </w:t>
      </w:r>
    </w:p>
    <w:p>
      <w:pPr>
        <w:pStyle w:val="Normal"/>
        <w:spacing w:lineRule="auto" w:line="480"/>
        <w:ind w:firstLine="2160" w:end="0"/>
        <w:rPr/>
      </w:pPr>
      <w:r>
        <w:rPr/>
        <w:t xml:space="preserve">Further, there have been numerous reports in the press based on statements from the Office of the Governor, that DWR will attempt or plans to renegotiate numerous of the high cost contracts.  Thus, the concept that customers who do not receive direct access service need protection from what would otherwise be significant costs due to potentially unwise purchasing practices of the DWR, is just not realistic.  </w:t>
      </w:r>
    </w:p>
    <w:p>
      <w:pPr>
        <w:pStyle w:val="Normal"/>
        <w:spacing w:lineRule="auto" w:line="480"/>
        <w:ind w:firstLine="2160" w:end="0"/>
        <w:rPr/>
      </w:pPr>
      <w:r>
        <w:rPr/>
        <w:t xml:space="preserve">Until such time that the State and this Commission can specifically determine (1) what is the specific contract obligation of the DWR after its efforts to cancel or negotiate contracts, (2) what is the revenue requirement associated with such contract purchases and (3) what would be the impact on customers due to limited direct access, particularly community or municipal aggregation, can the Commission determine that direct access is the evil that it appears to believe it is.  In fact, direct access is merely a tool used by many to minimize the impact of government and utility actions, in which they took no part, which have resulted in above market prices for purchased power.  </w:t>
      </w:r>
    </w:p>
    <w:p>
      <w:pPr>
        <w:pStyle w:val="Normal"/>
        <w:spacing w:lineRule="auto" w:line="480"/>
        <w:ind w:firstLine="1440" w:end="0"/>
        <w:rPr/>
      </w:pPr>
      <w:r>
        <w:rPr/>
        <w:t>(3)</w:t>
        <w:tab/>
        <w:t xml:space="preserve">The ACR also requests comment on what effect, if any, should be given to renewal of contracts or provisions in contracts with add-on provisions.  The ACR further asks about whether there are any types of contract provisions the Commission should consider in terms of applying the suspension.  </w:t>
      </w:r>
    </w:p>
    <w:p>
      <w:pPr>
        <w:pStyle w:val="Normal"/>
        <w:spacing w:lineRule="auto" w:line="480"/>
        <w:ind w:firstLine="2160" w:end="0"/>
        <w:rPr/>
      </w:pPr>
      <w:r>
        <w:rPr/>
        <w:t xml:space="preserve">Corona believes generally that private contracts should be honored.  Corona further believes that regulation should be limited to areas specifically provided by statute.  In this instance, this Commission is evaluating private agreements entered into by, among others, municipalities which are not subject to the Commission’s jurisdiction to suspend the program that was provided by statute.  The justification for such limitations concerns the fact that much of this power is transported on the distribution systems of investor owned utilities regulated by this Commission.  The Commission has a legitimate interest in the charges and terms and conditions of provision of such service by the investor owned utilities to the direct access customer, but should not further question the details of the private contracts for direct access purchases.  While it may be a matter of interest to the Commission, it is not a matter of the Commission’s jurisdiction.  </w:t>
      </w:r>
    </w:p>
    <w:p>
      <w:pPr>
        <w:pStyle w:val="Normal"/>
        <w:spacing w:lineRule="auto" w:line="480"/>
        <w:rPr/>
      </w:pPr>
      <w:r>
        <w:rPr/>
        <w:tab/>
        <w:tab/>
        <w:t>(4)</w:t>
        <w:tab/>
        <w:t xml:space="preserve">Finally, the Commission asks for copies of types of contracts and agreements and for specific information by electric service providers concerning the contracts entered into.  Corona has only entered into direct access service with business within the jurisdictional boundaries of the City of Corona.  To date, Corona has executed 51 contracts for approximately 25 megawatts of power.  These contracts are for a term of 5 years or longer and are subject to extension beyond such term by the mutual agreement of the parties.  Corona has also executed long term wholesale power agreements to serve this load.  </w:t>
      </w:r>
    </w:p>
    <w:p>
      <w:pPr>
        <w:pStyle w:val="Normal"/>
        <w:spacing w:lineRule="auto" w:line="480"/>
        <w:rPr/>
      </w:pPr>
      <w:r>
        <w:rPr/>
      </w:r>
    </w:p>
    <w:p>
      <w:pPr>
        <w:pStyle w:val="Normal"/>
        <w:spacing w:lineRule="auto" w:line="480"/>
        <w:jc w:val="center"/>
        <w:rPr>
          <w:b/>
          <w:u w:val="single"/>
        </w:rPr>
      </w:pPr>
      <w:r>
        <w:rPr>
          <w:b/>
          <w:u w:val="single"/>
        </w:rPr>
        <w:t>CONCLUSION</w:t>
      </w:r>
    </w:p>
    <w:p>
      <w:pPr>
        <w:pStyle w:val="Normal"/>
        <w:spacing w:lineRule="auto" w:line="480"/>
        <w:rPr/>
      </w:pPr>
      <w:r>
        <w:rPr/>
        <w:tab/>
        <w:t xml:space="preserve">As stated above, Corona believes that the Commission has neither the authority nor should it as a matter of policy establish a date for suspension of the direct access program at any time prior to the Commission’s formal vote suspending this program on September 20, 2001.  Further, Corona believes that the Commission should support and implement a limited form of direct access for community aggregators to allow cities to protect their businesses and residents.  Finally, Corona believes that contracts should be honored and any investigation into contracts </w:t>
      </w:r>
    </w:p>
    <w:p>
      <w:pPr>
        <w:pStyle w:val="Normal"/>
        <w:spacing w:lineRule="auto" w:line="480"/>
        <w:rPr/>
      </w:pPr>
      <w:r>
        <w:rPr/>
        <w:t xml:space="preserve">should be for purposes of gathering information and not for purposes of determining the basis for terminating the program or individual agreements.  </w:t>
      </w:r>
    </w:p>
    <w:p>
      <w:pPr>
        <w:pStyle w:val="Normal"/>
        <w:rPr/>
      </w:pPr>
      <w:r>
        <w:rPr/>
        <w:tab/>
        <w:tab/>
        <w:tab/>
        <w:tab/>
        <w:tab/>
        <w:tab/>
        <w:t>Respectfully submitted,</w:t>
      </w:r>
    </w:p>
    <w:p>
      <w:pPr>
        <w:pStyle w:val="Normal"/>
        <w:rPr/>
      </w:pPr>
      <w:r>
        <w:rPr/>
      </w:r>
    </w:p>
    <w:p>
      <w:pPr>
        <w:pStyle w:val="Normal"/>
        <w:rPr/>
      </w:pPr>
      <w:r>
        <w:rPr/>
        <w:tab/>
        <w:tab/>
        <w:tab/>
        <w:tab/>
        <w:tab/>
        <w:tab/>
      </w:r>
    </w:p>
    <w:p>
      <w:pPr>
        <w:pStyle w:val="Normal"/>
        <w:rPr/>
      </w:pPr>
      <w:r>
        <w:rPr/>
      </w:r>
    </w:p>
    <w:p>
      <w:pPr>
        <w:pStyle w:val="Normal"/>
        <w:rPr/>
      </w:pPr>
      <w:r>
        <w:rPr/>
        <w:tab/>
        <w:tab/>
        <w:tab/>
        <w:tab/>
        <w:tab/>
        <w:tab/>
        <w:t>By_____________________________________</w:t>
      </w:r>
    </w:p>
    <w:p>
      <w:pPr>
        <w:pStyle w:val="Normal"/>
        <w:rPr/>
      </w:pPr>
      <w:r>
        <w:rPr/>
        <w:tab/>
        <w:tab/>
        <w:tab/>
        <w:tab/>
        <w:tab/>
        <w:tab/>
        <w:t xml:space="preserve">     David L. Huard</w:t>
      </w:r>
    </w:p>
    <w:p>
      <w:pPr>
        <w:pStyle w:val="Normal"/>
        <w:rPr/>
      </w:pPr>
      <w:r>
        <w:rPr/>
        <w:tab/>
        <w:tab/>
        <w:tab/>
        <w:tab/>
        <w:tab/>
        <w:tab/>
        <w:t xml:space="preserve">    Attorney for the CITY OF CORONA</w:t>
      </w:r>
    </w:p>
    <w:p>
      <w:pPr>
        <w:pStyle w:val="Normal"/>
        <w:rPr/>
      </w:pPr>
      <w:r>
        <w:rPr/>
      </w:r>
    </w:p>
    <w:p>
      <w:pPr>
        <w:pStyle w:val="Normal"/>
        <w:rPr/>
      </w:pPr>
      <w:r>
        <w:rPr/>
        <w:tab/>
        <w:tab/>
        <w:tab/>
        <w:tab/>
        <w:tab/>
        <w:tab/>
        <w:t xml:space="preserve">    Manatt, Phelps &amp; Phillips, LLP</w:t>
      </w:r>
    </w:p>
    <w:p>
      <w:pPr>
        <w:pStyle w:val="Normal"/>
        <w:rPr/>
      </w:pPr>
      <w:r>
        <w:rPr/>
        <w:tab/>
        <w:tab/>
        <w:tab/>
        <w:tab/>
        <w:tab/>
        <w:tab/>
        <w:t xml:space="preserve">    11355 W. Olympic Boulevard</w:t>
      </w:r>
    </w:p>
    <w:p>
      <w:pPr>
        <w:pStyle w:val="Normal"/>
        <w:rPr/>
      </w:pPr>
      <w:r>
        <w:rPr/>
        <w:tab/>
        <w:tab/>
        <w:tab/>
        <w:tab/>
        <w:tab/>
        <w:tab/>
        <w:t xml:space="preserve">    Los Angeles, California  90064</w:t>
      </w:r>
    </w:p>
    <w:p>
      <w:pPr>
        <w:pStyle w:val="Normal"/>
        <w:rPr/>
      </w:pPr>
      <w:r>
        <w:rPr/>
        <w:tab/>
        <w:tab/>
        <w:tab/>
        <w:tab/>
        <w:tab/>
        <w:tab/>
        <w:t xml:space="preserve">    Telephone:  (310) 312-4000</w:t>
      </w:r>
    </w:p>
    <w:p>
      <w:pPr>
        <w:pStyle w:val="Normal"/>
        <w:rPr/>
      </w:pPr>
      <w:r>
        <w:rPr/>
        <w:tab/>
        <w:tab/>
        <w:tab/>
        <w:tab/>
        <w:tab/>
        <w:tab/>
        <w:t xml:space="preserve">    Facsimile:   (310) 312-4224</w:t>
      </w:r>
    </w:p>
    <w:p>
      <w:pPr>
        <w:pStyle w:val="Normal"/>
        <w:rPr/>
      </w:pPr>
      <w:r>
        <w:rPr/>
      </w:r>
      <w:r>
        <w:br w:type="page"/>
      </w:r>
    </w:p>
    <w:p>
      <w:pPr>
        <w:pStyle w:val="Normal"/>
        <w:spacing w:lineRule="auto" w:line="480"/>
        <w:jc w:val="center"/>
        <w:rPr>
          <w:b/>
          <w:u w:val="single"/>
        </w:rPr>
      </w:pPr>
      <w:r>
        <w:rPr>
          <w:b/>
          <w:u w:val="single"/>
        </w:rPr>
        <w:t>CERTIFICATE OF SERVICE</w:t>
      </w:r>
    </w:p>
    <w:p>
      <w:pPr>
        <w:pStyle w:val="Normal"/>
        <w:spacing w:lineRule="auto" w:line="480"/>
        <w:rPr>
          <w:b/>
          <w:u w:val="single"/>
        </w:rPr>
      </w:pPr>
      <w:r>
        <w:rPr>
          <w:b/>
          <w:u w:val="single"/>
        </w:rPr>
      </w:r>
    </w:p>
    <w:p>
      <w:pPr>
        <w:pStyle w:val="Normal"/>
        <w:spacing w:lineRule="auto" w:line="480"/>
        <w:rPr/>
      </w:pPr>
      <w:r>
        <w:rPr/>
        <w:tab/>
        <w:t xml:space="preserve">I, Karen S. Snyder, hereby certify that I have caused the foregoing document to be served on all parties in this proceeding pursuant to the Commission’s Rules of Practice and Procedure.  </w:t>
      </w:r>
    </w:p>
    <w:p>
      <w:pPr>
        <w:pStyle w:val="Normal"/>
        <w:spacing w:lineRule="auto" w:line="480"/>
        <w:rPr/>
      </w:pPr>
      <w:r>
        <w:rPr/>
        <w:tab/>
        <w:t xml:space="preserve">Dated this 2nd day of November, 2001, at Los Angeles, California. </w:t>
      </w:r>
    </w:p>
    <w:p>
      <w:pPr>
        <w:pStyle w:val="Normal"/>
        <w:spacing w:lineRule="auto" w:line="480"/>
        <w:rPr/>
      </w:pPr>
      <w:r>
        <w:rPr/>
      </w:r>
    </w:p>
    <w:p>
      <w:pPr>
        <w:pStyle w:val="Normal"/>
        <w:rPr/>
      </w:pPr>
      <w:r>
        <w:rPr/>
        <w:tab/>
        <w:tab/>
        <w:tab/>
        <w:tab/>
        <w:tab/>
        <w:tab/>
        <w:t>__________________________________</w:t>
      </w:r>
    </w:p>
    <w:p>
      <w:pPr>
        <w:pStyle w:val="Normal"/>
        <w:rPr/>
      </w:pPr>
      <w:r>
        <w:rPr/>
        <w:tab/>
        <w:tab/>
        <w:tab/>
        <w:tab/>
        <w:tab/>
        <w:tab/>
        <w:t>Karen S. Snyder</w:t>
      </w:r>
    </w:p>
    <w:p>
      <w:pPr>
        <w:pStyle w:val="Normal"/>
        <w:spacing w:lineRule="auto" w:line="480"/>
        <w:rPr/>
      </w:pPr>
      <w:r>
        <w:rPr/>
        <w:tab/>
        <w:tab/>
        <w:tab/>
      </w:r>
    </w:p>
    <w:p>
      <w:pPr>
        <w:pStyle w:val="Normal"/>
        <w:spacing w:lineRule="auto" w:line="480"/>
        <w:rPr/>
      </w:pPr>
      <w:r>
        <w:rPr/>
        <w:t xml:space="preserve"> </w:t>
      </w:r>
    </w:p>
    <w:p>
      <w:pPr>
        <w:pStyle w:val="Normal"/>
        <w:rPr/>
      </w:pPr>
      <w:r>
        <w:rPr/>
      </w:r>
    </w:p>
    <w:p>
      <w:pPr>
        <w:pStyle w:val="Normal"/>
        <w:spacing w:lineRule="exact" w:line="200"/>
        <w:rPr/>
      </w:pPr>
      <w:r>
        <w:rPr>
          <w:rStyle w:val="zzmpTrailerItem"/>
        </w:rPr>
        <w:t>40435116.1</w:t>
      </w:r>
      <w:r>
        <w:rPr/>
        <w:t xml:space="preserve"> </w:t>
      </w:r>
    </w:p>
    <w:sectPr>
      <w:headerReference w:type="default" r:id="rId6"/>
      <w:headerReference w:type="first" r:id="rId7"/>
      <w:footerReference w:type="default" r:id="rId8"/>
      <w:footerReference w:type="first" r:id="rId9"/>
      <w:type w:val="nextPage"/>
      <w:pgSz w:w="12240" w:h="15840"/>
      <w:pgMar w:left="1440" w:right="1440" w:gutter="0" w:header="1080" w:top="1872" w:footer="720" w:bottom="187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9562"/>
    </w:tblGrid>
    <w:tr>
      <w:trPr/>
      <w:tc>
        <w:tcPr>
          <w:tcW w:w="9562" w:type="dxa"/>
          <w:tcBorders/>
        </w:tcPr>
        <w:p>
          <w:pPr>
            <w:pStyle w:val="Letterhead"/>
            <w:tabs>
              <w:tab w:val="clear" w:pos="720"/>
              <w:tab w:val="right" w:pos="9346" w:leader="none"/>
            </w:tabs>
            <w:spacing w:lineRule="atLeast" w:line="240" w:before="0" w:after="60"/>
            <w:jc w:val="center"/>
            <w:rPr/>
          </w:pPr>
          <w:r>
            <w:rPr>
              <w:spacing w:val="0"/>
            </w:rPr>
            <w:t>11355 W. Olympic Boulevard, Los Angeles, California 90064   Telephone:  310.312.4000  Fax:  310.312.4224</w:t>
          </w:r>
        </w:p>
        <w:p>
          <w:pPr>
            <w:pStyle w:val="Letterhead"/>
            <w:spacing w:lineRule="atLeast" w:line="240"/>
            <w:jc w:val="center"/>
            <w:rPr>
              <w:smallCaps/>
              <w:spacing w:val="0"/>
              <w:sz w:val="20"/>
            </w:rPr>
          </w:pPr>
          <w:r>
            <w:rPr/>
            <w:t xml:space="preserve">Los Angeles  </w:t>
          </w:r>
          <w:r>
            <w:rPr>
              <w:rFonts w:cs="Symbol" w:ascii="Symbol" w:hAnsi="Symbol"/>
            </w:rPr>
            <w:sym w:font="Symbol" w:char="f07c"/>
            <w:sym w:font="Symbol" w:char="f020"/>
            <w:sym w:font="Symbol" w:char="f020"/>
          </w:r>
          <w:r>
            <w:rPr/>
            <w:t xml:space="preserve">Mexico City  </w:t>
          </w:r>
          <w:r>
            <w:rPr>
              <w:rFonts w:cs="Symbol" w:ascii="Symbol" w:hAnsi="Symbol"/>
            </w:rPr>
            <w:sym w:font="Symbol" w:char="f07c"/>
          </w:r>
          <w:r>
            <w:rPr/>
            <w:t xml:space="preserve">  Monterrey  |  Orange County  </w:t>
          </w:r>
          <w:r>
            <w:rPr>
              <w:rFonts w:cs="Symbol" w:ascii="Symbol" w:hAnsi="Symbol"/>
            </w:rPr>
            <w:sym w:font="Symbol" w:char="f07c"/>
          </w:r>
          <w:r>
            <w:rPr/>
            <w:t xml:space="preserve">  Palo Alto  </w:t>
          </w:r>
          <w:r>
            <w:rPr>
              <w:rFonts w:cs="Symbol" w:ascii="Symbol" w:hAnsi="Symbol"/>
            </w:rPr>
            <w:sym w:font="Symbol" w:char="f07c"/>
          </w:r>
          <w:r>
            <w:rPr/>
            <w:t xml:space="preserve">  Sacramento  </w:t>
          </w:r>
          <w:r>
            <w:rPr>
              <w:rFonts w:cs="Symbol" w:ascii="Symbol" w:hAnsi="Symbol"/>
            </w:rPr>
            <w:sym w:font="Symbol" w:char="f07c"/>
          </w:r>
          <w:r>
            <w:rPr/>
            <w:t xml:space="preserve">  Washington, D.C.</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133"/>
      <w:gridCol w:w="5429"/>
    </w:tblGrid>
    <w:tr>
      <w:trPr/>
      <w:tc>
        <w:tcPr>
          <w:tcW w:w="4133" w:type="dxa"/>
          <w:tcBorders/>
        </w:tcPr>
        <w:p>
          <w:pPr>
            <w:pStyle w:val="Letterhead"/>
            <w:spacing w:lineRule="exact" w:line="240" w:before="240" w:after="0"/>
            <w:ind w:start="-36" w:end="0"/>
            <w:rPr>
              <w:kern w:val="2"/>
              <w:sz w:val="60"/>
            </w:rPr>
          </w:pPr>
          <w:r>
            <w:rPr>
              <w:spacing w:val="-20"/>
              <w:kern w:val="2"/>
              <w:sz w:val="60"/>
            </w:rPr>
            <w:t>manatt</w:t>
          </w:r>
        </w:p>
        <w:p>
          <w:pPr>
            <w:pStyle w:val="Letterhead"/>
            <w:spacing w:lineRule="exact" w:line="200" w:before="0" w:after="40"/>
            <w:rPr>
              <w:b/>
              <w:spacing w:val="0"/>
              <w:kern w:val="2"/>
              <w:sz w:val="28"/>
            </w:rPr>
          </w:pPr>
          <w:r>
            <w:rPr>
              <w:spacing w:val="0"/>
              <w:sz w:val="16"/>
            </w:rPr>
            <w:t>manatt | phelps | phillips</w:t>
          </w:r>
        </w:p>
      </w:tc>
      <w:tc>
        <w:tcPr>
          <w:tcW w:w="5429" w:type="dxa"/>
          <w:tcBorders/>
        </w:tcPr>
        <w:p>
          <w:pPr>
            <w:pStyle w:val="Letterhead"/>
            <w:snapToGrid w:val="false"/>
            <w:jc w:val="end"/>
            <w:rPr>
              <w:b/>
              <w:spacing w:val="0"/>
              <w:kern w:val="2"/>
              <w:sz w:val="6"/>
            </w:rPr>
          </w:pPr>
          <w:r>
            <w:rPr>
              <w:b/>
              <w:spacing w:val="0"/>
              <w:kern w:val="2"/>
              <w:sz w:val="6"/>
            </w:rPr>
          </w:r>
        </w:p>
        <w:p>
          <w:pPr>
            <w:pStyle w:val="Letterhead"/>
            <w:jc w:val="end"/>
            <w:rPr>
              <w:b/>
            </w:rPr>
          </w:pPr>
          <w:r>
            <w:rPr>
              <w:b/>
            </w:rPr>
            <w:t>Randall W. Keen</w:t>
          </w:r>
        </w:p>
        <w:p>
          <w:pPr>
            <w:pStyle w:val="Letterhead"/>
            <w:jc w:val="end"/>
            <w:rPr/>
          </w:pPr>
          <w:r>
            <w:rPr/>
            <w:t>Manatt, Phelps &amp; Phillips, LLP</w:t>
          </w:r>
        </w:p>
        <w:p>
          <w:pPr>
            <w:pStyle w:val="Letterhead"/>
            <w:jc w:val="end"/>
            <w:rPr/>
          </w:pPr>
          <w:r>
            <w:rPr/>
            <w:t>Direct Dial:  (310) 312-4361</w:t>
          </w:r>
        </w:p>
        <w:p>
          <w:pPr>
            <w:pStyle w:val="Letterhead"/>
            <w:jc w:val="end"/>
            <w:rPr>
              <w:spacing w:val="17"/>
              <w:kern w:val="2"/>
            </w:rPr>
          </w:pPr>
          <w:r>
            <w:rPr/>
            <w:t>E-mail:  rkeen@manatt.com</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hkIncludeDear" w:val="True"/>
    <w:docVar w:name="chkIncludeDPhrase" w:val="False"/>
    <w:docVar w:name="chkIncludeLetterClosing" w:val="True"/>
    <w:docVar w:name="chkOptAPC" w:val="False"/>
    <w:docVar w:name="chkOptAuthorFax" w:val="False"/>
    <w:docVar w:name="chkOptAuthorPhone" w:val="True"/>
    <w:docVar w:name="chkOptAuthorTitle" w:val="False"/>
    <w:docVar w:name="chkOptDateAsField" w:val="False"/>
    <w:docVar w:name="chkOptFirmName" w:val="True"/>
    <w:docVar w:name="chkOptInternetID" w:val="True"/>
    <w:docVar w:name="chkOptLHName" w:val="True"/>
    <w:docVar w:name="chkOptSigAPC" w:val="False"/>
    <w:docVar w:name="cmbAuthor" w:val="1756"/>
    <w:docVar w:name="cmbAuthorLists" w:val="-101"/>
    <w:docVar w:name="cmbClosingPhrases" w:val="Sincerely,"/>
    <w:docVar w:name="cmbOptBodyTextAlignment" w:val="0"/>
    <w:docVar w:name="cmbOptClosingPhrases" w:val="Sincerely,"/>
    <w:docVar w:name="cmbOptFonts" w:val="Times New Roman"/>
    <w:docVar w:name="cmbOptOffices" w:val="1"/>
    <w:docVar w:name="cmbOptSigType" w:val="No Title"/>
    <w:docVar w:name="cmbPrefLists" w:val="-101"/>
    <w:docVar w:name="cmbSetAuthorPref" w:val="1756"/>
    <w:docVar w:name="flag" w:val="0.9414179"/>
    <w:docVar w:name="iTrailerType" w:val="1"/>
    <w:docVar w:name="lstDeliveryPhrases" w:val="Attorney Work Product"/>
    <w:docVar w:name="lstNames" w:val="Docket Clerk"/>
    <w:docVar w:name="optBy" w:val="True"/>
    <w:docVar w:name="optVia" w:val="False"/>
    <w:docVar w:name="packedarray" w:val="Docket Clerk†California Public Utiliites Commission&#10;505 Van Ness Avenue&#10;San Francisco, CA  94102-3214"/>
    <w:docVar w:name="Restarted" w:val="True"/>
    <w:docVar w:name="tglUseFirmDefaults" w:val="False"/>
    <w:docVar w:name="txtAuthor" w:val="Randall W. Keen"/>
    <w:docVar w:name="txtCCs" w:val="David Huard&#10;President Loretta Lynch&#10;Commissioner Richard A. Bilas&#10;Commissioner Geoffrey F. Brown&#10;Commissioner Henry M. Duque&#10;Commissioner Carl Wood&#10;Administrative Law Judge Christine M. Walwyn"/>
    <w:docVar w:name="txtEnclosures" w:val="Attachments"/>
    <w:docVar w:name="txtFax" w:val="(310) 312-4224"/>
    <w:docVar w:name="txtFileNumber" w:val="23743-030"/>
    <w:docVar w:name="txtInitials" w:val="RWK"/>
    <w:docVar w:name="txtNet_ID" w:val="rkeen@manatt.com"/>
    <w:docVar w:name="txtOptBottomMargin" w:val="1.3"/>
    <w:docVar w:name="txtOptFirstLine" w:val="0.5"/>
    <w:docVar w:name="txtOptFSize" w:val="12"/>
    <w:docVar w:name="txtOptLeftMargin" w:val="1"/>
    <w:docVar w:name="txtOptRightMargin" w:val="1"/>
    <w:docVar w:name="txtOptTopMargin" w:val="1.3"/>
    <w:docVar w:name="txtPhone" w:val="(310) 312-4361"/>
    <w:docVar w:name="txtReLine" w:val="Comments of the City of Corona (A.98-07-003, A.98-07-006, A.98-07-026)"/>
    <w:docVar w:name="txtSalutation" w:val="Sir or Madam"/>
    <w:docVar w:name="txtTitle" w:val="Associate"/>
    <w:docVar w:name="txtTypistInitials" w:val="kss"/>
    <w:docVar w:name="zzmpFixed_LHVersion" w:val="2000a"/>
    <w:docVar w:name="zzmpFixed_MacPacVersion" w:val="97"/>
    <w:docVar w:name="zzmpFixedDOC_ID" w:val="4043511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Continued">
    <w:name w:val="Body Text Continued"/>
    <w:basedOn w:val="BodyText"/>
    <w:next w:val="BodyText"/>
    <w:qFormat/>
    <w:pPr>
      <w:ind w:hanging="0" w:start="0" w:end="0"/>
    </w:pPr>
    <w:rPr/>
  </w:style>
  <w:style w:type="paragraph" w:styleId="LHFirmName">
    <w:name w:val="LH Firm Name"/>
    <w:qFormat/>
    <w:pPr>
      <w:widowControl/>
      <w:bidi w:val="0"/>
      <w:ind w:hanging="0" w:start="-720" w:end="0"/>
    </w:pPr>
    <w:rPr>
      <w:rFonts w:ascii="Times New Roman" w:hAnsi="Times New Roman" w:eastAsia="Times New Roman" w:cs="Times New Roman"/>
      <w:color w:val="auto"/>
      <w:spacing w:val="10"/>
      <w:sz w:val="24"/>
      <w:szCs w:val="20"/>
      <w:lang w:val="en-CA" w:eastAsia="zh-CN" w:bidi="hi-IN"/>
    </w:rPr>
  </w:style>
  <w:style w:type="paragraph" w:styleId="Centered">
    <w:name w:val="Centered"/>
    <w:basedOn w:val="Normal"/>
    <w:next w:val="Normal"/>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Normal"/>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468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Normal"/>
    <w:qFormat/>
    <w:pPr>
      <w:spacing w:before="240" w:after="240"/>
    </w:pPr>
    <w:rPr/>
  </w:style>
  <w:style w:type="paragraph" w:styleId="DeliveryPhrase">
    <w:name w:val="Delivery Phrase"/>
    <w:basedOn w:val="Normal"/>
    <w:next w:val="WW-Addressee"/>
    <w:qFormat/>
    <w:pPr>
      <w:spacing w:before="240" w:after="0"/>
    </w:pPr>
    <w:rPr>
      <w:b/>
      <w:caps/>
    </w:rPr>
  </w:style>
  <w:style w:type="paragraph" w:styleId="Quote">
    <w:name w:val="Quote"/>
    <w:basedOn w:val="Normal"/>
    <w:next w:val="Normal"/>
    <w:qFormat/>
    <w:pPr>
      <w:spacing w:before="0" w:after="240"/>
      <w:ind w:hanging="0" w:start="1440" w:end="1440"/>
    </w:pPr>
    <w:rPr/>
  </w:style>
  <w:style w:type="paragraph" w:styleId="BodyTextIndent">
    <w:name w:val="Body Text Indent"/>
    <w:basedOn w:val="Normal"/>
    <w:next w:val="BodyText"/>
    <w:pPr>
      <w:ind w:hanging="0" w:start="720" w:end="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L00-F05-SS">
    <w:name w:val="L00-F05-SS"/>
    <w:basedOn w:val="Normal"/>
    <w:qFormat/>
    <w:pPr>
      <w:spacing w:before="0" w:after="240"/>
      <w:ind w:firstLine="720" w:start="0" w:end="0"/>
    </w:pPr>
    <w:rPr/>
  </w:style>
  <w:style w:type="paragraph" w:styleId="L00-F05-DS">
    <w:name w:val="L00-F05-DS"/>
    <w:basedOn w:val="Normal"/>
    <w:qFormat/>
    <w:pPr>
      <w:spacing w:lineRule="auto" w:line="480"/>
      <w:ind w:firstLine="720" w:start="0" w:end="0"/>
    </w:pPr>
    <w:rPr/>
  </w:style>
  <w:style w:type="paragraph" w:styleId="L00-F10-SS">
    <w:name w:val="L00-F10-SS"/>
    <w:basedOn w:val="Normal"/>
    <w:qFormat/>
    <w:pPr>
      <w:spacing w:before="0" w:after="240"/>
      <w:ind w:firstLine="1440" w:start="0" w:end="0"/>
    </w:pPr>
    <w:rPr/>
  </w:style>
  <w:style w:type="paragraph" w:styleId="L00-F00-DS">
    <w:name w:val="L00-F00-DS"/>
    <w:basedOn w:val="Normal"/>
    <w:qFormat/>
    <w:pPr>
      <w:spacing w:lineRule="auto" w:line="480"/>
    </w:pPr>
    <w:rPr/>
  </w:style>
  <w:style w:type="paragraph" w:styleId="L00-F00-SS">
    <w:name w:val="L00-F00-SS"/>
    <w:basedOn w:val="Normal"/>
    <w:qFormat/>
    <w:pPr>
      <w:spacing w:before="0" w:after="240"/>
    </w:pPr>
    <w:rPr/>
  </w:style>
  <w:style w:type="paragraph" w:styleId="L00-F10-DS">
    <w:name w:val="L00-F10-DS"/>
    <w:basedOn w:val="Normal"/>
    <w:qFormat/>
    <w:pPr>
      <w:spacing w:lineRule="auto" w:line="480"/>
      <w:ind w:firstLine="1440" w:start="0" w:end="0"/>
    </w:pPr>
    <w:rPr/>
  </w:style>
  <w:style w:type="paragraph" w:styleId="L05-F00-DS">
    <w:name w:val="L05-F00-DS"/>
    <w:basedOn w:val="Normal"/>
    <w:qFormat/>
    <w:pPr>
      <w:spacing w:lineRule="auto" w:line="480"/>
      <w:ind w:hanging="0" w:start="720" w:end="0"/>
    </w:pPr>
    <w:rPr/>
  </w:style>
  <w:style w:type="paragraph" w:styleId="L05-F00-SS">
    <w:name w:val="L05-F00-SS"/>
    <w:basedOn w:val="Normal"/>
    <w:qFormat/>
    <w:pPr>
      <w:spacing w:before="0" w:after="240"/>
      <w:ind w:hanging="0" w:start="720" w:end="0"/>
    </w:pPr>
    <w:rPr/>
  </w:style>
  <w:style w:type="paragraph" w:styleId="L05-F05-DS">
    <w:name w:val="L05-F05-DS"/>
    <w:basedOn w:val="Normal"/>
    <w:qFormat/>
    <w:pPr>
      <w:spacing w:lineRule="auto" w:line="480"/>
      <w:ind w:firstLine="720" w:start="720" w:end="0"/>
    </w:pPr>
    <w:rPr/>
  </w:style>
  <w:style w:type="paragraph" w:styleId="L05-F05-SS">
    <w:name w:val="L05-F05-SS"/>
    <w:basedOn w:val="Normal"/>
    <w:qFormat/>
    <w:pPr>
      <w:spacing w:before="0" w:after="240"/>
      <w:ind w:firstLine="720" w:start="720" w:end="0"/>
    </w:pPr>
    <w:rPr/>
  </w:style>
  <w:style w:type="paragraph" w:styleId="L10-F00-DS">
    <w:name w:val="L10-F00-DS"/>
    <w:basedOn w:val="Normal"/>
    <w:qFormat/>
    <w:pPr>
      <w:spacing w:lineRule="auto" w:line="480"/>
      <w:ind w:hanging="0" w:start="1440" w:end="0"/>
    </w:pPr>
    <w:rPr/>
  </w:style>
  <w:style w:type="paragraph" w:styleId="L10-F00-SS">
    <w:name w:val="L10-F00-SS"/>
    <w:basedOn w:val="Normal"/>
    <w:qFormat/>
    <w:pPr>
      <w:spacing w:before="0" w:after="240"/>
      <w:ind w:hanging="0" w:start="1440" w:end="0"/>
    </w:pPr>
    <w:rPr/>
  </w:style>
  <w:style w:type="paragraph" w:styleId="L10-F10-DS">
    <w:name w:val="L10-F10-DS"/>
    <w:basedOn w:val="Normal"/>
    <w:qFormat/>
    <w:pPr>
      <w:spacing w:lineRule="auto" w:line="480"/>
      <w:ind w:firstLine="720" w:start="1440" w:end="0"/>
    </w:pPr>
    <w:rPr/>
  </w:style>
  <w:style w:type="paragraph" w:styleId="L10-F10-SS">
    <w:name w:val="L10-F10-SS"/>
    <w:basedOn w:val="Normal"/>
    <w:qFormat/>
    <w:pPr>
      <w:spacing w:before="0" w:after="240"/>
      <w:ind w:firstLine="720" w:start="1440" w:end="0"/>
    </w:pPr>
    <w:rPr/>
  </w:style>
  <w:style w:type="paragraph" w:styleId="L15-F00-DS">
    <w:name w:val="L15-F00-DS"/>
    <w:basedOn w:val="Normal"/>
    <w:qFormat/>
    <w:pPr>
      <w:spacing w:lineRule="auto" w:line="480"/>
      <w:ind w:hanging="0" w:start="2160" w:end="0"/>
    </w:pPr>
    <w:rPr/>
  </w:style>
  <w:style w:type="paragraph" w:styleId="L15-F00-SS">
    <w:name w:val="L15-F00-SS"/>
    <w:basedOn w:val="Normal"/>
    <w:qFormat/>
    <w:pPr>
      <w:spacing w:before="0" w:after="240"/>
      <w:ind w:hanging="0" w:start="2160" w:end="0"/>
    </w:pPr>
    <w:rPr/>
  </w:style>
  <w:style w:type="paragraph" w:styleId="LR05-F00-DS">
    <w:name w:val="LR05-F00-DS"/>
    <w:basedOn w:val="Normal"/>
    <w:qFormat/>
    <w:pPr>
      <w:spacing w:lineRule="auto" w:line="480"/>
      <w:ind w:hanging="0" w:start="720" w:end="720"/>
    </w:pPr>
    <w:rPr/>
  </w:style>
  <w:style w:type="paragraph" w:styleId="LR05-F00-SS">
    <w:name w:val="LR05-F00-SS"/>
    <w:basedOn w:val="Normal"/>
    <w:qFormat/>
    <w:pPr>
      <w:spacing w:before="0" w:after="240"/>
      <w:ind w:hanging="0" w:start="720" w:end="720"/>
    </w:pPr>
    <w:rPr/>
  </w:style>
  <w:style w:type="paragraph" w:styleId="LR10-F00-DS">
    <w:name w:val="LR10-F00-DS"/>
    <w:basedOn w:val="Normal"/>
    <w:qFormat/>
    <w:pPr>
      <w:spacing w:lineRule="auto" w:line="480"/>
      <w:ind w:hanging="0" w:start="1440" w:end="1440"/>
    </w:pPr>
    <w:rPr/>
  </w:style>
  <w:style w:type="paragraph" w:styleId="LR10-F00-SS">
    <w:name w:val="LR10-F00-SS"/>
    <w:basedOn w:val="Normal"/>
    <w:qFormat/>
    <w:pPr>
      <w:spacing w:before="0" w:after="240"/>
      <w:ind w:hanging="0" w:start="1440" w:end="1440"/>
    </w:pPr>
    <w:rPr/>
  </w:style>
  <w:style w:type="paragraph" w:styleId="Letterhead">
    <w:name w:val="Letterhead"/>
    <w:qFormat/>
    <w:pPr>
      <w:widowControl/>
      <w:bidi w:val="0"/>
    </w:pPr>
    <w:rPr>
      <w:rFonts w:ascii="Arial" w:hAnsi="Arial" w:eastAsia="Times New Roman" w:cs="Arial"/>
      <w:color w:val="auto"/>
      <w:spacing w:val="2"/>
      <w:sz w:val="18"/>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2001-11-02T21:37:00Z</dcterms:created>
  <dc:creator>Karen Snyder</dc:creator>
  <dc:description/>
  <dc:language>en-CA</dc:language>
  <cp:lastModifiedBy>Karen Snyder</cp:lastModifiedBy>
  <cp:lastPrinted>2001-11-02T16:19:00Z</cp:lastPrinted>
  <dcterms:modified xsi:type="dcterms:W3CDTF">2001-11-02T21:53:00Z</dcterms:modified>
  <cp:revision>3</cp:revision>
  <dc:subject/>
  <dc:title>November 2, 2001</dc:title>
</cp:coreProperties>
</file>