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tabs>
          <w:tab w:val="clear" w:pos="720"/>
          <w:tab w:val="right" w:pos="11070" w:leader="none"/>
        </w:tabs>
        <w:rPr/>
      </w:pPr>
      <w:r>
        <w:rPr>
          <w:rFonts w:cs="Arial" w:ascii="Arial" w:hAnsi="Arial"/>
          <w:sz w:val="16"/>
        </w:rPr>
        <w:t>STATE OF CALIFORNIA</w:t>
      </w:r>
      <w:r>
        <w:rPr>
          <w:rFonts w:cs="Arial" w:ascii="Arial" w:hAnsi="Arial"/>
        </w:rPr>
        <w:tab/>
      </w:r>
      <w:r>
        <w:rPr>
          <w:rFonts w:cs="Arial" w:ascii="Arial" w:hAnsi="Arial"/>
          <w:sz w:val="16"/>
        </w:rPr>
        <w:t>GRAY DAVIS,</w:t>
      </w:r>
      <w:r>
        <w:rPr>
          <w:rFonts w:cs="Arial" w:ascii="Arial" w:hAnsi="Arial"/>
        </w:rPr>
        <w:t xml:space="preserve"> </w:t>
      </w:r>
      <w:r>
        <w:rPr>
          <w:rFonts w:cs="Arial" w:ascii="Arial" w:hAnsi="Arial"/>
          <w:i/>
          <w:sz w:val="16"/>
        </w:rPr>
        <w:t>Governor</w:t>
      </w:r>
    </w:p>
    <w:p>
      <w:pPr>
        <w:pStyle w:val="Normal"/>
        <w:tabs>
          <w:tab w:val="clear" w:pos="720"/>
          <w:tab w:val="right" w:pos="11070" w:leader="none"/>
        </w:tabs>
        <w:spacing w:before="80" w:after="0"/>
        <w:rPr/>
      </w:pPr>
      <w:r>
        <w:rPr/>
        <w:drawing>
          <wp:inline distT="0" distB="0" distL="0" distR="0">
            <wp:extent cx="671195" cy="6121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7" r="-16" b="-17"/>
                    <a:stretch>
                      <a:fillRect/>
                    </a:stretch>
                  </pic:blipFill>
                  <pic:spPr bwMode="auto">
                    <a:xfrm>
                      <a:off x="0" y="0"/>
                      <a:ext cx="671195" cy="612140"/>
                    </a:xfrm>
                    <a:prstGeom prst="rect">
                      <a:avLst/>
                    </a:prstGeom>
                    <a:noFill/>
                  </pic:spPr>
                </pic:pic>
              </a:graphicData>
            </a:graphic>
          </wp:inline>
        </w:drawing>
      </w:r>
      <w:r>
        <w:rPr>
          <w:rFonts w:cs="Arial" w:ascii="Arial" w:hAnsi="Arial"/>
        </w:rPr>
        <w:t>PUBLIC UTILITIES COMMISSION</w:t>
      </w:r>
    </w:p>
    <w:p>
      <w:pPr>
        <w:pStyle w:val="Normal"/>
        <w:tabs>
          <w:tab w:val="clear" w:pos="720"/>
          <w:tab w:val="right" w:pos="11070" w:leader="none"/>
        </w:tabs>
        <w:spacing w:before="80" w:after="0"/>
        <w:rPr>
          <w:rFonts w:ascii="Arial" w:hAnsi="Arial" w:cs="Arial"/>
          <w:sz w:val="12"/>
        </w:rPr>
      </w:pPr>
      <w:r>
        <w:rPr>
          <w:rFonts w:cs="Arial" w:ascii="Arial" w:hAnsi="Arial"/>
          <w:sz w:val="12"/>
        </w:rPr>
        <w:t>505 VAN NESS AVENUE</w:t>
      </w:r>
    </w:p>
    <w:p>
      <w:pPr>
        <w:pStyle w:val="Normal"/>
        <w:tabs>
          <w:tab w:val="clear" w:pos="720"/>
          <w:tab w:val="right" w:pos="11070" w:leader="none"/>
        </w:tabs>
        <w:spacing w:before="80" w:after="0"/>
        <w:rPr>
          <w:rFonts w:ascii="Arial" w:hAnsi="Arial" w:cs="Arial"/>
          <w:sz w:val="12"/>
        </w:rPr>
      </w:pPr>
      <w:r>
        <w:rPr>
          <w:rFonts w:cs="Arial" w:ascii="Arial" w:hAnsi="Arial"/>
          <w:sz w:val="12"/>
        </w:rPr>
        <w:t>SAN FRANCISCO, CA  94102-3298</w:t>
      </w:r>
    </w:p>
    <w:p>
      <w:pPr>
        <w:pStyle w:val="Normal"/>
        <w:tabs>
          <w:tab w:val="clear" w:pos="720"/>
          <w:tab w:val="right" w:pos="11070" w:leader="none"/>
        </w:tabs>
        <w:spacing w:before="80" w:after="0"/>
        <w:rPr>
          <w:sz w:val="24"/>
        </w:rPr>
      </w:pPr>
      <w:r>
        <w:rPr>
          <w:sz w:val="24"/>
        </w:rPr>
        <w:t xml:space="preserve">                                                                      </w:t>
      </w:r>
      <w:r>
        <w:rPr>
          <w:sz w:val="24"/>
        </w:rPr>
        <w:tab/>
        <w:tab/>
      </w:r>
    </w:p>
    <w:p>
      <w:pPr>
        <w:pStyle w:val="Heading3"/>
        <w:tabs>
          <w:tab w:val="clear" w:pos="9720"/>
          <w:tab w:val="left" w:pos="6930" w:leader="none"/>
        </w:tabs>
        <w:ind w:start="990" w:end="1908"/>
        <w:jc w:val="start"/>
        <w:rPr/>
      </w:pPr>
      <w:r>
        <w:rPr/>
        <w:t xml:space="preserve">January 24, 2001       </w:t>
      </w:r>
    </w:p>
    <w:p>
      <w:pPr>
        <w:pStyle w:val="Heading3"/>
        <w:tabs>
          <w:tab w:val="clear" w:pos="9720"/>
          <w:tab w:val="left" w:pos="6930" w:leader="none"/>
        </w:tabs>
        <w:ind w:start="990" w:end="1908"/>
        <w:jc w:val="start"/>
        <w:rPr/>
      </w:pPr>
      <w:r>
        <w:rPr/>
      </w:r>
    </w:p>
    <w:p>
      <w:pPr>
        <w:pStyle w:val="Heading3"/>
        <w:tabs>
          <w:tab w:val="clear" w:pos="9720"/>
          <w:tab w:val="left" w:pos="6930" w:leader="none"/>
        </w:tabs>
        <w:ind w:start="990" w:end="1908"/>
        <w:jc w:val="start"/>
        <w:rPr/>
      </w:pPr>
      <w:r>
        <w:rPr/>
        <w:t>DeAnn Hapner</w:t>
      </w:r>
    </w:p>
    <w:p>
      <w:pPr>
        <w:pStyle w:val="Heading3"/>
        <w:tabs>
          <w:tab w:val="clear" w:pos="9720"/>
          <w:tab w:val="left" w:pos="6930" w:leader="none"/>
        </w:tabs>
        <w:ind w:start="990" w:end="1908"/>
        <w:jc w:val="start"/>
        <w:rPr/>
      </w:pPr>
      <w:r>
        <w:rPr/>
        <w:t>Vice President of Regulatory Relations</w:t>
      </w:r>
    </w:p>
    <w:p>
      <w:pPr>
        <w:pStyle w:val="Normal"/>
        <w:rPr/>
      </w:pPr>
      <w:r>
        <w:rPr/>
        <w:tab/>
        <w:t xml:space="preserve">     </w:t>
      </w:r>
      <w:r>
        <w:rPr>
          <w:sz w:val="24"/>
        </w:rPr>
        <w:t>Pacific Gas and Electric Company</w:t>
      </w:r>
    </w:p>
    <w:p>
      <w:pPr>
        <w:pStyle w:val="Heading3"/>
        <w:tabs>
          <w:tab w:val="clear" w:pos="9720"/>
          <w:tab w:val="left" w:pos="6930" w:leader="none"/>
        </w:tabs>
        <w:ind w:start="990" w:end="1908"/>
        <w:jc w:val="start"/>
        <w:rPr/>
      </w:pPr>
      <w:r>
        <w:rPr/>
        <w:t>77 Beale Street</w:t>
      </w:r>
    </w:p>
    <w:p>
      <w:pPr>
        <w:pStyle w:val="Normal"/>
        <w:rPr/>
      </w:pPr>
      <w:r>
        <w:rPr/>
        <w:tab/>
        <w:t xml:space="preserve">     </w:t>
      </w:r>
      <w:r>
        <w:rPr>
          <w:sz w:val="24"/>
        </w:rPr>
        <w:t>Mail Code B10A</w:t>
      </w:r>
    </w:p>
    <w:p>
      <w:pPr>
        <w:pStyle w:val="Normal"/>
        <w:rPr>
          <w:sz w:val="24"/>
        </w:rPr>
      </w:pPr>
      <w:r>
        <w:rPr>
          <w:sz w:val="24"/>
        </w:rPr>
        <w:tab/>
        <w:t xml:space="preserve">     P.O. Box 770000</w:t>
      </w:r>
    </w:p>
    <w:p>
      <w:pPr>
        <w:pStyle w:val="Normal"/>
        <w:ind w:firstLine="720" w:start="270" w:end="0"/>
        <w:rPr>
          <w:sz w:val="24"/>
        </w:rPr>
      </w:pPr>
      <w:r>
        <w:rPr>
          <w:sz w:val="24"/>
        </w:rPr>
        <w:t>San Francisco, CA  94177</w:t>
      </w:r>
    </w:p>
    <w:p>
      <w:pPr>
        <w:pStyle w:val="Normal"/>
        <w:rPr>
          <w:sz w:val="24"/>
        </w:rPr>
      </w:pPr>
      <w:r>
        <w:rPr>
          <w:sz w:val="24"/>
        </w:rPr>
        <w:tab/>
      </w:r>
    </w:p>
    <w:p>
      <w:pPr>
        <w:pStyle w:val="Heading3"/>
        <w:tabs>
          <w:tab w:val="clear" w:pos="9720"/>
          <w:tab w:val="left" w:pos="6930" w:leader="none"/>
        </w:tabs>
        <w:ind w:start="990" w:end="1908"/>
        <w:jc w:val="start"/>
        <w:rPr/>
      </w:pPr>
      <w:r>
        <w:rPr/>
      </w:r>
    </w:p>
    <w:p>
      <w:pPr>
        <w:pStyle w:val="Heading3"/>
        <w:tabs>
          <w:tab w:val="clear" w:pos="9720"/>
          <w:tab w:val="left" w:pos="6930" w:leader="none"/>
        </w:tabs>
        <w:ind w:start="990" w:end="1908"/>
        <w:jc w:val="start"/>
        <w:rPr/>
      </w:pPr>
      <w:r>
        <w:rPr/>
        <w:t>Re:  Advice Letter 2073-E</w:t>
      </w:r>
    </w:p>
    <w:p>
      <w:pPr>
        <w:pStyle w:val="Heading3"/>
        <w:tabs>
          <w:tab w:val="clear" w:pos="9720"/>
          <w:tab w:val="left" w:pos="6930" w:leader="none"/>
        </w:tabs>
        <w:ind w:start="990" w:end="1908"/>
        <w:jc w:val="start"/>
        <w:rPr/>
      </w:pPr>
      <w:r>
        <w:rPr/>
      </w:r>
    </w:p>
    <w:p>
      <w:pPr>
        <w:pStyle w:val="Heading3"/>
        <w:tabs>
          <w:tab w:val="clear" w:pos="9720"/>
          <w:tab w:val="left" w:pos="6930" w:leader="none"/>
        </w:tabs>
        <w:ind w:start="990" w:end="1908"/>
        <w:jc w:val="start"/>
        <w:rPr/>
      </w:pPr>
      <w:r>
        <w:rPr/>
        <w:t>Dear Ms. Hapner:</w:t>
      </w:r>
    </w:p>
    <w:p>
      <w:pPr>
        <w:pStyle w:val="Heading3"/>
        <w:tabs>
          <w:tab w:val="clear" w:pos="9720"/>
          <w:tab w:val="left" w:pos="6930" w:leader="none"/>
        </w:tabs>
        <w:ind w:start="990" w:end="1908"/>
        <w:jc w:val="start"/>
        <w:rPr/>
      </w:pPr>
      <w:r>
        <w:rPr/>
      </w:r>
    </w:p>
    <w:p>
      <w:pPr>
        <w:pStyle w:val="Heading3"/>
        <w:tabs>
          <w:tab w:val="clear" w:pos="9720"/>
          <w:tab w:val="left" w:pos="6930" w:leader="none"/>
          <w:tab w:val="left" w:pos="9900" w:leader="none"/>
        </w:tabs>
        <w:ind w:start="990" w:end="1188"/>
        <w:jc w:val="start"/>
        <w:rPr/>
      </w:pPr>
      <w:r>
        <w:rPr/>
        <w:t>On January 18, 2001 Pacific Gas and Electric Company (PG&amp;E) filed Advice Letter (AL) 2073-E in which it requests electric tariff revisions relating to the pricing of its retained generation assets.  PG&amp;E requests expedited treatment of this advice letter and that it become effective January 19, 2001.  Pursuant to Section VII of General Order 96-A, the Energy Division is rejecting PG&amp;E’s Advice Letter 2073-E because it seeks authority that directly conflicts with Decision (D.) 01-01-018, in Application (A.) 00-11-038, et. al.  AL 2073-E shall not become effective.</w:t>
      </w:r>
    </w:p>
    <w:p>
      <w:pPr>
        <w:pStyle w:val="Normal"/>
        <w:rPr/>
      </w:pPr>
      <w:r>
        <w:rPr/>
      </w:r>
    </w:p>
    <w:p>
      <w:pPr>
        <w:pStyle w:val="Heading3"/>
        <w:ind w:start="990" w:end="1282"/>
        <w:jc w:val="start"/>
        <w:rPr/>
      </w:pPr>
      <w:r>
        <w:rPr/>
        <w:t>In AL 2073-E, PG&amp;E seeks authority to transfer any end of year debit or credit balances in its generation memorandum accounts to the transition cost balancing account (TCBA).  This request directly conflicts with Ordering Paragraph 4 of D.01-01-018 which states that to the extent that PG&amp;E has credited the net amounts in the generation memorandum accounts as of December 31, 2000 to the TCBA, it shall reverse and adjust all necessary accounting entries.</w:t>
      </w:r>
    </w:p>
    <w:p>
      <w:pPr>
        <w:pStyle w:val="Normal"/>
        <w:rPr/>
      </w:pPr>
      <w:r>
        <w:rPr/>
      </w:r>
    </w:p>
    <w:p>
      <w:pPr>
        <w:pStyle w:val="Normal"/>
        <w:ind w:start="990" w:end="1368"/>
        <w:rPr>
          <w:sz w:val="24"/>
        </w:rPr>
      </w:pPr>
      <w:r>
        <w:rPr>
          <w:sz w:val="24"/>
        </w:rPr>
        <w:t>To the extent that PG&amp;E wants to pursue the tariff modifications and authority requested in AL 2073-E, it should do so in A.00-11-038, et. al., and not by a discretionary advice letter filing.</w:t>
      </w:r>
    </w:p>
    <w:p>
      <w:pPr>
        <w:pStyle w:val="Normal"/>
        <w:ind w:start="990" w:end="1368"/>
        <w:rPr>
          <w:sz w:val="24"/>
        </w:rPr>
      </w:pPr>
      <w:r>
        <w:rPr>
          <w:sz w:val="24"/>
        </w:rPr>
      </w:r>
    </w:p>
    <w:p>
      <w:pPr>
        <w:pStyle w:val="Normal"/>
        <w:ind w:start="990" w:end="1368"/>
        <w:rPr>
          <w:sz w:val="24"/>
        </w:rPr>
      </w:pPr>
      <w:r>
        <w:rPr>
          <w:sz w:val="24"/>
        </w:rPr>
        <w:t>You are directed to serve a copy of this letter on all parties on the service list of AL 2073-E within 5 business days.</w:t>
      </w:r>
    </w:p>
    <w:p>
      <w:pPr>
        <w:pStyle w:val="Normal"/>
        <w:rPr/>
      </w:pPr>
      <w:r>
        <w:rPr/>
        <w:t xml:space="preserve"> </w:t>
      </w:r>
    </w:p>
    <w:p>
      <w:pPr>
        <w:pStyle w:val="FootnoteText"/>
        <w:rPr/>
      </w:pPr>
      <w:r>
        <w:rPr/>
        <w:tab/>
      </w:r>
    </w:p>
    <w:p>
      <w:pPr>
        <w:pStyle w:val="Heading3"/>
        <w:tabs>
          <w:tab w:val="clear" w:pos="9720"/>
          <w:tab w:val="left" w:pos="6930" w:leader="none"/>
        </w:tabs>
        <w:ind w:start="990" w:end="1908"/>
        <w:jc w:val="start"/>
        <w:rPr/>
      </w:pPr>
      <w:r>
        <w:rPr/>
        <w:t>Very truly yours,</w:t>
      </w:r>
    </w:p>
    <w:p>
      <w:pPr>
        <w:pStyle w:val="Heading3"/>
        <w:tabs>
          <w:tab w:val="clear" w:pos="9720"/>
          <w:tab w:val="left" w:pos="6930" w:leader="none"/>
        </w:tabs>
        <w:ind w:start="990" w:end="1908"/>
        <w:jc w:val="start"/>
        <w:rPr/>
      </w:pPr>
      <w:r>
        <w:rPr/>
      </w:r>
    </w:p>
    <w:p>
      <w:pPr>
        <w:pStyle w:val="Heading3"/>
        <w:tabs>
          <w:tab w:val="clear" w:pos="9720"/>
          <w:tab w:val="left" w:pos="6930" w:leader="none"/>
        </w:tabs>
        <w:ind w:start="990" w:end="1908"/>
        <w:jc w:val="start"/>
        <w:rPr/>
      </w:pPr>
      <w:r>
        <w:rPr/>
      </w:r>
    </w:p>
    <w:p>
      <w:pPr>
        <w:pStyle w:val="Heading3"/>
        <w:tabs>
          <w:tab w:val="clear" w:pos="9720"/>
          <w:tab w:val="left" w:pos="6930" w:leader="none"/>
        </w:tabs>
        <w:ind w:start="990" w:end="1908"/>
        <w:jc w:val="start"/>
        <w:rPr/>
      </w:pPr>
      <w:r>
        <w:rPr/>
      </w:r>
    </w:p>
    <w:p>
      <w:pPr>
        <w:pStyle w:val="Heading3"/>
        <w:tabs>
          <w:tab w:val="clear" w:pos="9720"/>
          <w:tab w:val="left" w:pos="6930" w:leader="none"/>
        </w:tabs>
        <w:ind w:start="990" w:end="1908"/>
        <w:jc w:val="start"/>
        <w:rPr/>
      </w:pPr>
      <w:r>
        <w:rPr/>
        <w:t>Paul Clanon</w:t>
      </w:r>
    </w:p>
    <w:p>
      <w:pPr>
        <w:pStyle w:val="Heading3"/>
        <w:tabs>
          <w:tab w:val="clear" w:pos="9720"/>
          <w:tab w:val="left" w:pos="6930" w:leader="none"/>
        </w:tabs>
        <w:ind w:start="990" w:end="1908"/>
        <w:jc w:val="start"/>
        <w:rPr/>
      </w:pPr>
      <w:r>
        <w:rPr/>
        <w:t>Director, Energy Division</w:t>
        <w:tab/>
        <w:t xml:space="preserve"> </w:t>
        <w:tab/>
        <w:tab/>
        <w:tab/>
      </w:r>
    </w:p>
    <w:sectPr>
      <w:headerReference w:type="default" r:id="rId3"/>
      <w:headerReference w:type="first" r:id="rId4"/>
      <w:type w:val="nextPage"/>
      <w:pgSz w:w="12240" w:h="15840"/>
      <w:pgMar w:left="576" w:right="576" w:gutter="0" w:header="720" w:top="776"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930" w:leader="none"/>
      </w:tabs>
      <w:ind w:hanging="0" w:start="450" w:end="1282"/>
      <w:jc w:val="both"/>
      <w:outlineLvl w:val="0"/>
    </w:pPr>
    <w:rPr>
      <w:sz w:val="24"/>
    </w:rPr>
  </w:style>
  <w:style w:type="paragraph" w:styleId="Heading2">
    <w:name w:val="heading 2"/>
    <w:basedOn w:val="Normal"/>
    <w:next w:val="Normal"/>
    <w:qFormat/>
    <w:pPr>
      <w:keepNext w:val="true"/>
      <w:numPr>
        <w:ilvl w:val="1"/>
        <w:numId w:val="1"/>
      </w:numPr>
      <w:tabs>
        <w:tab w:val="clear" w:pos="720"/>
        <w:tab w:val="left" w:pos="6930" w:leader="none"/>
      </w:tabs>
      <w:ind w:hanging="1163" w:start="1710" w:end="1282"/>
      <w:jc w:val="both"/>
      <w:outlineLvl w:val="1"/>
    </w:pPr>
    <w:rPr>
      <w:sz w:val="24"/>
    </w:rPr>
  </w:style>
  <w:style w:type="paragraph" w:styleId="Heading3">
    <w:name w:val="heading 3"/>
    <w:basedOn w:val="Normal"/>
    <w:next w:val="Normal"/>
    <w:qFormat/>
    <w:pPr>
      <w:keepNext w:val="true"/>
      <w:numPr>
        <w:ilvl w:val="2"/>
        <w:numId w:val="1"/>
      </w:numPr>
      <w:tabs>
        <w:tab w:val="clear" w:pos="720"/>
        <w:tab w:val="left" w:pos="6930" w:leader="none"/>
        <w:tab w:val="right" w:pos="9720" w:leader="none"/>
      </w:tabs>
      <w:ind w:hanging="0" w:start="547" w:end="1282"/>
      <w:jc w:val="both"/>
      <w:outlineLvl w:val="2"/>
    </w:pPr>
    <w:rPr>
      <w:sz w:val="24"/>
    </w:rPr>
  </w:style>
  <w:style w:type="paragraph" w:styleId="Heading4">
    <w:name w:val="heading 4"/>
    <w:basedOn w:val="Normal"/>
    <w:next w:val="Normal"/>
    <w:qFormat/>
    <w:pPr>
      <w:keepNext w:val="true"/>
      <w:numPr>
        <w:ilvl w:val="3"/>
        <w:numId w:val="1"/>
      </w:numPr>
      <w:tabs>
        <w:tab w:val="clear" w:pos="720"/>
        <w:tab w:val="left" w:pos="6930" w:leader="none"/>
      </w:tabs>
      <w:ind w:hanging="0" w:start="990" w:end="1908"/>
      <w:outlineLvl w:val="3"/>
    </w:pPr>
    <w:rPr>
      <w:sz w:val="24"/>
    </w:rPr>
  </w:style>
  <w:style w:type="paragraph" w:styleId="Heading5">
    <w:name w:val="heading 5"/>
    <w:basedOn w:val="Normal"/>
    <w:next w:val="Normal"/>
    <w:qFormat/>
    <w:pPr>
      <w:keepNext w:val="true"/>
      <w:numPr>
        <w:ilvl w:val="4"/>
        <w:numId w:val="1"/>
      </w:numPr>
      <w:ind w:hanging="0" w:start="810" w:end="1908"/>
      <w:jc w:val="center"/>
      <w:outlineLvl w:val="4"/>
    </w:pPr>
    <w:rPr>
      <w:sz w:val="24"/>
    </w:rPr>
  </w:style>
  <w:style w:type="paragraph" w:styleId="Heading6">
    <w:name w:val="heading 6"/>
    <w:basedOn w:val="Normal"/>
    <w:next w:val="Normal"/>
    <w:qFormat/>
    <w:pPr>
      <w:keepNext w:val="true"/>
      <w:numPr>
        <w:ilvl w:val="5"/>
        <w:numId w:val="1"/>
      </w:numPr>
      <w:tabs>
        <w:tab w:val="clear" w:pos="720"/>
        <w:tab w:val="right" w:pos="10260" w:leader="none"/>
      </w:tabs>
      <w:ind w:hanging="0" w:start="0" w:end="-270"/>
      <w:outlineLvl w:val="5"/>
    </w:pPr>
    <w:rPr>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tabs>
        <w:tab w:val="clear" w:pos="720"/>
        <w:tab w:val="left" w:pos="6930" w:leader="none"/>
      </w:tabs>
      <w:ind w:hanging="0" w:start="547" w:end="1282"/>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990" w:end="0"/>
    </w:pPr>
    <w:rPr>
      <w:sz w:val="24"/>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2001-01-24T21:09:00Z</dcterms:created>
  <dc:creator>Employee</dc:creator>
  <dc:description/>
  <dc:language>en-CA</dc:language>
  <cp:lastModifiedBy>Nel Avendano</cp:lastModifiedBy>
  <cp:lastPrinted>2001-01-24T07:50:00Z</cp:lastPrinted>
  <dcterms:modified xsi:type="dcterms:W3CDTF">2001-01-24T21:09:00Z</dcterms:modified>
  <cp:revision>2</cp:revision>
  <dc:subject/>
  <dc:title>CPUC Letterhead.Gray Davis</dc:title>
</cp:coreProperties>
</file>