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0"/>
        <w:jc w:val="start"/>
        <w:rPr>
          <w:sz w:val="24"/>
        </w:rPr>
      </w:pPr>
      <w:r>
        <w:rPr>
          <w:sz w:val="24"/>
        </w:rPr>
        <w:t>Enron Power Construction (Brasil) Ltd.</w:t>
      </w:r>
    </w:p>
    <w:p>
      <w:pPr>
        <w:pStyle w:val="Heading"/>
        <w:ind w:start="0" w:end="0"/>
        <w:jc w:val="start"/>
        <w:rPr>
          <w:sz w:val="24"/>
        </w:rPr>
      </w:pPr>
      <w:r>
        <w:rPr>
          <w:sz w:val="24"/>
        </w:rPr>
        <w:t>Rodovia Dos Imigrantes, No. 3770</w:t>
      </w:r>
    </w:p>
    <w:p>
      <w:pPr>
        <w:pStyle w:val="Heading"/>
        <w:ind w:start="0" w:end="0"/>
        <w:jc w:val="start"/>
        <w:rPr>
          <w:sz w:val="24"/>
        </w:rPr>
      </w:pPr>
      <w:r>
        <w:rPr>
          <w:sz w:val="24"/>
        </w:rPr>
        <w:t>Distrito Industrial</w:t>
      </w:r>
    </w:p>
    <w:p>
      <w:pPr>
        <w:pStyle w:val="Heading"/>
        <w:ind w:start="0" w:end="0"/>
        <w:jc w:val="start"/>
        <w:rPr>
          <w:sz w:val="24"/>
        </w:rPr>
      </w:pPr>
      <w:r>
        <w:rPr>
          <w:sz w:val="24"/>
        </w:rPr>
        <w:t>Cuiaba MT</w:t>
        <w:tab/>
        <w:t>CEP: 78098-840</w:t>
      </w:r>
    </w:p>
    <w:p>
      <w:pPr>
        <w:pStyle w:val="Heading"/>
        <w:ind w:start="0" w:end="0"/>
        <w:jc w:val="start"/>
        <w:rPr>
          <w:sz w:val="24"/>
        </w:rPr>
      </w:pPr>
      <w:r>
        <w:rPr>
          <w:sz w:val="24"/>
        </w:rPr>
      </w:r>
    </w:p>
    <w:p>
      <w:pPr>
        <w:pStyle w:val="Heading"/>
        <w:ind w:start="0" w:end="0"/>
        <w:jc w:val="start"/>
        <w:rPr>
          <w:sz w:val="24"/>
        </w:rPr>
      </w:pPr>
      <w:r>
        <w:rPr>
          <w:sz w:val="24"/>
        </w:rPr>
        <w:t>Superior Construction Company</w:t>
      </w:r>
    </w:p>
    <w:p>
      <w:pPr>
        <w:pStyle w:val="Heading"/>
        <w:ind w:start="0" w:end="0"/>
        <w:jc w:val="start"/>
        <w:rPr>
          <w:sz w:val="24"/>
        </w:rPr>
      </w:pPr>
      <w:r>
        <w:rPr>
          <w:sz w:val="24"/>
        </w:rPr>
        <w:t>P.O. Box 1188</w:t>
      </w:r>
    </w:p>
    <w:p>
      <w:pPr>
        <w:pStyle w:val="Heading"/>
        <w:ind w:start="0" w:end="0"/>
        <w:jc w:val="start"/>
        <w:rPr>
          <w:sz w:val="24"/>
        </w:rPr>
      </w:pPr>
      <w:r>
        <w:rPr>
          <w:sz w:val="24"/>
        </w:rPr>
        <w:t>Houston, TX 77251-1188</w:t>
      </w:r>
    </w:p>
    <w:p>
      <w:pPr>
        <w:pStyle w:val="Heading"/>
        <w:ind w:start="0" w:end="0"/>
        <w:rPr>
          <w:sz w:val="36"/>
        </w:rPr>
      </w:pPr>
      <w:r>
        <w:rPr>
          <w:sz w:val="36"/>
        </w:rPr>
      </w:r>
    </w:p>
    <w:p>
      <w:pPr>
        <w:pStyle w:val="Heading"/>
        <w:ind w:start="0" w:end="0"/>
        <w:rPr/>
      </w:pPr>
      <w:r>
        <w:rPr>
          <w:b w:val="false"/>
          <w:sz w:val="24"/>
        </w:rPr>
        <w:t xml:space="preserve">January </w:t>
      </w:r>
      <w:r>
        <w:rPr>
          <w:bCs/>
          <w:sz w:val="24"/>
        </w:rPr>
        <w:t>[___]</w:t>
      </w:r>
      <w:r>
        <w:rPr>
          <w:b w:val="false"/>
          <w:sz w:val="24"/>
        </w:rPr>
        <w:t>, 2001</w:t>
      </w:r>
    </w:p>
    <w:p>
      <w:pPr>
        <w:pStyle w:val="Heading"/>
        <w:ind w:start="0" w:end="0"/>
        <w:rPr>
          <w:b w:val="false"/>
          <w:sz w:val="24"/>
        </w:rPr>
      </w:pPr>
      <w:r>
        <w:rPr>
          <w:b w:val="false"/>
          <w:sz w:val="24"/>
        </w:rPr>
      </w:r>
    </w:p>
    <w:p>
      <w:pPr>
        <w:pStyle w:val="Heading"/>
        <w:ind w:start="0" w:end="0"/>
        <w:jc w:val="start"/>
        <w:rPr>
          <w:b w:val="false"/>
          <w:sz w:val="24"/>
        </w:rPr>
      </w:pPr>
      <w:r>
        <w:rPr>
          <w:b w:val="false"/>
          <w:sz w:val="24"/>
        </w:rPr>
        <w:t>Siemens Aktiengesellschaft</w:t>
      </w:r>
    </w:p>
    <w:p>
      <w:pPr>
        <w:pStyle w:val="Heading"/>
        <w:ind w:start="0" w:end="0"/>
        <w:jc w:val="start"/>
        <w:rPr>
          <w:b w:val="false"/>
          <w:sz w:val="24"/>
        </w:rPr>
      </w:pPr>
      <w:r>
        <w:rPr>
          <w:b w:val="false"/>
          <w:sz w:val="24"/>
        </w:rPr>
        <w:t>Power Generation (KWU)</w:t>
      </w:r>
    </w:p>
    <w:p>
      <w:pPr>
        <w:pStyle w:val="Heading"/>
        <w:ind w:start="0" w:end="0"/>
        <w:jc w:val="start"/>
        <w:rPr>
          <w:b w:val="false"/>
          <w:sz w:val="24"/>
        </w:rPr>
      </w:pPr>
      <w:r>
        <w:rPr>
          <w:b w:val="false"/>
          <w:sz w:val="24"/>
        </w:rPr>
        <w:t>P.O. Box 3220</w:t>
      </w:r>
    </w:p>
    <w:p>
      <w:pPr>
        <w:pStyle w:val="Heading"/>
        <w:ind w:start="0" w:end="0"/>
        <w:jc w:val="start"/>
        <w:rPr>
          <w:b w:val="false"/>
          <w:sz w:val="24"/>
        </w:rPr>
      </w:pPr>
      <w:r>
        <w:rPr>
          <w:b w:val="false"/>
          <w:sz w:val="24"/>
        </w:rPr>
        <w:t>Department F2K</w:t>
      </w:r>
    </w:p>
    <w:p>
      <w:pPr>
        <w:pStyle w:val="Heading"/>
        <w:ind w:start="0" w:end="0"/>
        <w:jc w:val="start"/>
        <w:rPr>
          <w:b w:val="false"/>
          <w:sz w:val="24"/>
        </w:rPr>
      </w:pPr>
      <w:r>
        <w:rPr>
          <w:b w:val="false"/>
          <w:sz w:val="24"/>
        </w:rPr>
        <w:t>D-91050 Erlangen, Germany</w:t>
      </w:r>
    </w:p>
    <w:p>
      <w:pPr>
        <w:pStyle w:val="Heading"/>
        <w:ind w:start="0" w:end="0"/>
        <w:jc w:val="start"/>
        <w:rPr>
          <w:b w:val="false"/>
          <w:sz w:val="24"/>
        </w:rPr>
      </w:pPr>
      <w:r>
        <w:rPr>
          <w:b w:val="false"/>
          <w:sz w:val="24"/>
        </w:rPr>
      </w:r>
    </w:p>
    <w:p>
      <w:pPr>
        <w:pStyle w:val="Heading"/>
        <w:ind w:start="0" w:end="0"/>
        <w:jc w:val="start"/>
        <w:rPr>
          <w:b w:val="false"/>
          <w:sz w:val="24"/>
        </w:rPr>
      </w:pPr>
      <w:r>
        <w:rPr>
          <w:b w:val="false"/>
          <w:sz w:val="24"/>
        </w:rPr>
        <w:t>Siemens Ltda.</w:t>
      </w:r>
    </w:p>
    <w:p>
      <w:pPr>
        <w:pStyle w:val="Heading"/>
        <w:ind w:start="0" w:end="0"/>
        <w:jc w:val="start"/>
        <w:rPr>
          <w:b w:val="false"/>
          <w:sz w:val="24"/>
        </w:rPr>
      </w:pPr>
      <w:r>
        <w:rPr>
          <w:b w:val="false"/>
          <w:sz w:val="24"/>
        </w:rPr>
        <w:t>Av. Mutinga No. 3.800</w:t>
      </w:r>
    </w:p>
    <w:p>
      <w:pPr>
        <w:pStyle w:val="Heading"/>
        <w:ind w:start="0" w:end="0"/>
        <w:jc w:val="start"/>
        <w:rPr>
          <w:b w:val="false"/>
          <w:sz w:val="24"/>
        </w:rPr>
      </w:pPr>
      <w:r>
        <w:rPr>
          <w:b w:val="false"/>
          <w:sz w:val="24"/>
        </w:rPr>
        <w:t>Sao Paulo – SP</w:t>
      </w:r>
    </w:p>
    <w:p>
      <w:pPr>
        <w:pStyle w:val="Heading"/>
        <w:ind w:start="0" w:end="0"/>
        <w:jc w:val="start"/>
        <w:rPr>
          <w:b w:val="false"/>
          <w:sz w:val="24"/>
        </w:rPr>
      </w:pPr>
      <w:r>
        <w:rPr>
          <w:b w:val="false"/>
          <w:sz w:val="24"/>
        </w:rPr>
        <w:t>05110-901</w:t>
      </w:r>
    </w:p>
    <w:p>
      <w:pPr>
        <w:pStyle w:val="Heading"/>
        <w:ind w:start="0" w:end="0"/>
        <w:jc w:val="start"/>
        <w:rPr>
          <w:b w:val="false"/>
          <w:sz w:val="24"/>
        </w:rPr>
      </w:pPr>
      <w:r>
        <w:rPr>
          <w:b w:val="false"/>
          <w:sz w:val="24"/>
        </w:rPr>
        <w:t xml:space="preserve">Brazil </w:t>
      </w:r>
    </w:p>
    <w:p>
      <w:pPr>
        <w:pStyle w:val="Heading"/>
        <w:ind w:start="0" w:end="0"/>
        <w:jc w:val="start"/>
        <w:rPr>
          <w:b w:val="false"/>
          <w:sz w:val="24"/>
        </w:rPr>
      </w:pPr>
      <w:r>
        <w:rPr>
          <w:b w:val="false"/>
          <w:sz w:val="24"/>
        </w:rPr>
      </w:r>
    </w:p>
    <w:p>
      <w:pPr>
        <w:pStyle w:val="Heading"/>
        <w:ind w:hanging="720" w:start="1440" w:end="0"/>
        <w:jc w:val="both"/>
        <w:rPr/>
      </w:pPr>
      <w:r>
        <w:rPr>
          <w:b w:val="false"/>
          <w:sz w:val="24"/>
        </w:rPr>
        <w:t>Re:</w:t>
        <w:tab/>
        <w:t>Engineering, Procurement, and Construction Contract, dated effective as of August 22, 1997 (as amended, modified, or otherwise supplemented from time to time, the “</w:t>
      </w:r>
      <w:r>
        <w:rPr>
          <w:b w:val="false"/>
          <w:sz w:val="24"/>
          <w:u w:val="single"/>
        </w:rPr>
        <w:t>EPC Contract</w:t>
      </w:r>
      <w:r>
        <w:rPr>
          <w:b w:val="false"/>
          <w:sz w:val="24"/>
        </w:rPr>
        <w:t>”), by and among Superior Construction Company (as successor-in-interest to EPE-Empresa Produtora de Energia, Ltda., “</w:t>
      </w:r>
      <w:r>
        <w:rPr>
          <w:b w:val="false"/>
          <w:sz w:val="24"/>
          <w:u w:val="single"/>
        </w:rPr>
        <w:t>SCC</w:t>
      </w:r>
      <w:r>
        <w:rPr>
          <w:b w:val="false"/>
          <w:sz w:val="24"/>
        </w:rPr>
        <w:t>”), Siemens Aktiengesellschaft, and Siemens Ltda. (“</w:t>
      </w:r>
      <w:r>
        <w:rPr>
          <w:b w:val="false"/>
          <w:sz w:val="24"/>
          <w:u w:val="single"/>
        </w:rPr>
        <w:t>Contractors</w:t>
      </w:r>
      <w:r>
        <w:rPr>
          <w:b w:val="false"/>
          <w:sz w:val="24"/>
        </w:rPr>
        <w:t xml:space="preserve">”).  </w:t>
      </w:r>
    </w:p>
    <w:p>
      <w:pPr>
        <w:pStyle w:val="Heading"/>
        <w:ind w:hanging="720" w:start="0" w:end="0"/>
        <w:jc w:val="both"/>
        <w:rPr>
          <w:b w:val="false"/>
          <w:sz w:val="24"/>
        </w:rPr>
      </w:pPr>
      <w:r>
        <w:rPr>
          <w:b w:val="false"/>
          <w:sz w:val="24"/>
        </w:rPr>
      </w:r>
    </w:p>
    <w:p>
      <w:pPr>
        <w:pStyle w:val="Heading"/>
        <w:ind w:hanging="720" w:start="720" w:end="0"/>
        <w:jc w:val="both"/>
        <w:rPr>
          <w:b w:val="false"/>
          <w:sz w:val="24"/>
        </w:rPr>
      </w:pPr>
      <w:r>
        <w:rPr>
          <w:b w:val="false"/>
          <w:sz w:val="24"/>
        </w:rPr>
        <w:t>Gentlemen:</w:t>
      </w:r>
    </w:p>
    <w:p>
      <w:pPr>
        <w:pStyle w:val="Heading"/>
        <w:ind w:hanging="720" w:start="0" w:end="0"/>
        <w:jc w:val="both"/>
        <w:rPr>
          <w:b w:val="false"/>
          <w:sz w:val="24"/>
        </w:rPr>
      </w:pPr>
      <w:r>
        <w:rPr>
          <w:b w:val="false"/>
          <w:sz w:val="24"/>
        </w:rPr>
      </w:r>
    </w:p>
    <w:p>
      <w:pPr>
        <w:pStyle w:val="Heading"/>
        <w:ind w:start="0" w:end="0"/>
        <w:jc w:val="both"/>
        <w:rPr>
          <w:b w:val="false"/>
          <w:sz w:val="24"/>
        </w:rPr>
      </w:pPr>
      <w:r>
        <w:rPr>
          <w:b w:val="false"/>
          <w:sz w:val="24"/>
        </w:rPr>
        <w:t xml:space="preserve">The following sets forth the agreement of SCC and Contractors solely with respect to the matters raised in COR 0111, Extension of time Phase III, as supplemented, arising out of the unavailability of natural gas.  As a result of the unavailability of natural gas, SCC and Contractors have agreed , as more specifically set forth herein, that (i) Contractors shall cause Phase III of the Facility to achieve Provisional Completion in accordance with Section 11.5 of the EPC Contract, (ii) following achievement of Provisional Completion of Phase III of the Facility, Contractors shall demobilize from the Site, and (iii) following receipt by Contractors of written notice from SCC, Contractors shall remobilize to the Site and cause Phase III of the Facility to achieve Substantial Completion in accordance with Section 11.6 of the EPC Contract. </w:t>
      </w:r>
    </w:p>
    <w:p>
      <w:pPr>
        <w:pStyle w:val="Heading"/>
        <w:ind w:start="0" w:end="0"/>
        <w:jc w:val="both"/>
        <w:rPr>
          <w:b w:val="false"/>
          <w:sz w:val="24"/>
        </w:rPr>
      </w:pPr>
      <w:r>
        <w:rPr>
          <w:b w:val="false"/>
          <w:sz w:val="24"/>
        </w:rPr>
      </w:r>
    </w:p>
    <w:p>
      <w:pPr>
        <w:pStyle w:val="Heading"/>
        <w:ind w:start="0" w:end="0"/>
        <w:jc w:val="both"/>
        <w:rPr>
          <w:b w:val="false"/>
          <w:sz w:val="24"/>
        </w:rPr>
      </w:pPr>
      <w:r>
        <w:rPr>
          <w:b w:val="false"/>
          <w:sz w:val="24"/>
        </w:rPr>
        <w:t>To carry out the intent of the parties as set forth in the preceding paragraph and in consideration of the mutual promises set forth herein and in the EPC Contract and for other good and valuable consideration, SCC and Contractors hereby agree, to the extent set forth herein, to amend, modify, and supplement the EPC Contract as follows:</w:t>
      </w:r>
    </w:p>
    <w:p>
      <w:pPr>
        <w:pStyle w:val="Heading"/>
        <w:ind w:start="0" w:end="0"/>
        <w:jc w:val="both"/>
        <w:rPr>
          <w:b w:val="false"/>
          <w:sz w:val="24"/>
        </w:rPr>
      </w:pPr>
      <w:r>
        <w:rPr>
          <w:b w:val="false"/>
          <w:sz w:val="24"/>
        </w:rPr>
      </w:r>
    </w:p>
    <w:p>
      <w:pPr>
        <w:pStyle w:val="Heading"/>
        <w:ind w:start="0" w:end="0"/>
        <w:jc w:val="both"/>
        <w:rPr>
          <w:b w:val="false"/>
          <w:sz w:val="24"/>
        </w:rPr>
      </w:pPr>
      <w:r>
        <w:rPr>
          <w:b w:val="false"/>
          <w:sz w:val="24"/>
        </w:rPr>
        <w:t>Unless otherwise expressly stated, the capitalized terms used but not defined herein shall have the respective meanings assigned to such terms in the EPC Contract.</w:t>
      </w:r>
    </w:p>
    <w:p>
      <w:pPr>
        <w:pStyle w:val="Heading"/>
        <w:ind w:start="0" w:end="0"/>
        <w:jc w:val="both"/>
        <w:rPr>
          <w:b w:val="false"/>
          <w:sz w:val="24"/>
        </w:rPr>
      </w:pPr>
      <w:r>
        <w:rPr>
          <w:b w:val="false"/>
          <w:sz w:val="24"/>
        </w:rPr>
      </w:r>
    </w:p>
    <w:p>
      <w:pPr>
        <w:pStyle w:val="Normal"/>
        <w:numPr>
          <w:ilvl w:val="0"/>
          <w:numId w:val="2"/>
        </w:numPr>
        <w:tabs>
          <w:tab w:val="clear" w:pos="720"/>
        </w:tabs>
        <w:spacing w:lineRule="atLeast" w:line="240"/>
        <w:ind w:hanging="720" w:start="720" w:end="0"/>
        <w:rPr>
          <w:rFonts w:ascii="Tms Rmn;Times New Roman" w:hAnsi="Tms Rmn;Times New Roman" w:cs="Tms Rmn;Times New Roman"/>
          <w:b/>
          <w:sz w:val="24"/>
        </w:rPr>
      </w:pPr>
      <w:r>
        <w:rPr>
          <w:rFonts w:cs="Tms Rmn;Times New Roman" w:ascii="Tms Rmn;Times New Roman" w:hAnsi="Tms Rmn;Times New Roman"/>
          <w:b/>
          <w:sz w:val="24"/>
          <w:u w:val="single"/>
        </w:rPr>
        <w:t>Phase III Provisional Completion</w:t>
      </w:r>
      <w:r>
        <w:rPr>
          <w:rFonts w:cs="Tms Rmn;Times New Roman" w:ascii="Tms Rmn;Times New Roman" w:hAnsi="Tms Rmn;Times New Roman"/>
          <w:b/>
          <w:sz w:val="24"/>
        </w:rPr>
        <w:t xml:space="preserve">.  </w:t>
      </w:r>
    </w:p>
    <w:p>
      <w:pPr>
        <w:pStyle w:val="Normal"/>
        <w:spacing w:lineRule="atLeast" w:line="240"/>
        <w:rPr>
          <w:rFonts w:ascii="Tms Rmn;Times New Roman" w:hAnsi="Tms Rmn;Times New Roman" w:cs="Tms Rmn;Times New Roman"/>
          <w:b/>
          <w:sz w:val="24"/>
        </w:rPr>
      </w:pPr>
      <w:r>
        <w:rPr>
          <w:rFonts w:cs="Tms Rmn;Times New Roman" w:ascii="Tms Rmn;Times New Roman" w:hAnsi="Tms Rmn;Times New Roman"/>
          <w:b/>
          <w:sz w:val="24"/>
        </w:rPr>
      </w:r>
    </w:p>
    <w:p>
      <w:pPr>
        <w:pStyle w:val="BodyTextIndent"/>
        <w:ind w:start="0" w:end="0"/>
        <w:jc w:val="both"/>
        <w:rPr/>
      </w:pPr>
      <w:r>
        <w:rPr/>
        <w:t>Contractors shall cause Phase III of the Facility to achieve Provisional Completion in accordance with Section 11.5 of the EPC Contract.  Subject to Section 4 of this letter agreement, Contractors shall demobilize their personnel from the Site following acceptance by SCC of Contractors’ Provisional Completion Certificate.</w:t>
      </w:r>
    </w:p>
    <w:p>
      <w:pPr>
        <w:pStyle w:val="BodyTextIndent"/>
        <w:ind w:start="0" w:end="0"/>
        <w:jc w:val="both"/>
        <w:rPr/>
      </w:pPr>
      <w:r>
        <w:rPr/>
      </w:r>
    </w:p>
    <w:p>
      <w:pPr>
        <w:pStyle w:val="BodyTextIndent"/>
        <w:numPr>
          <w:ilvl w:val="0"/>
          <w:numId w:val="2"/>
        </w:numPr>
        <w:tabs>
          <w:tab w:val="clear" w:pos="720"/>
        </w:tabs>
        <w:ind w:hanging="720" w:start="720" w:end="0"/>
        <w:jc w:val="both"/>
        <w:rPr>
          <w:b/>
          <w:u w:val="single"/>
        </w:rPr>
      </w:pPr>
      <w:r>
        <w:rPr>
          <w:b/>
          <w:u w:val="single"/>
        </w:rPr>
        <w:t>Compensation for Commissioning on Fuel Oil</w:t>
      </w:r>
      <w:r>
        <w:rPr>
          <w:b/>
        </w:rPr>
        <w:t>.</w:t>
      </w:r>
    </w:p>
    <w:p>
      <w:pPr>
        <w:pStyle w:val="BodyTextIndent"/>
        <w:ind w:start="0" w:end="0"/>
        <w:jc w:val="both"/>
        <w:rPr>
          <w:b/>
          <w:u w:val="single"/>
        </w:rPr>
      </w:pPr>
      <w:r>
        <w:rPr>
          <w:b/>
          <w:u w:val="single"/>
        </w:rPr>
      </w:r>
    </w:p>
    <w:p>
      <w:pPr>
        <w:pStyle w:val="BodyTextIndent"/>
        <w:ind w:start="0" w:end="0"/>
        <w:jc w:val="both"/>
        <w:rPr/>
      </w:pPr>
      <w:r>
        <w:rPr/>
        <w:t xml:space="preserve">On or before _________________, 2001, SCC shall pay to Contractors the sum of </w:t>
      </w:r>
      <w:r>
        <w:rPr>
          <w:b/>
          <w:bCs/>
        </w:rPr>
        <w:t>[Five Million Six Hundred Thirty Thousand Dollars ($5,630,000)]</w:t>
      </w:r>
      <w:r>
        <w:rPr>
          <w:rStyle w:val="FootnoteCharacters"/>
          <w:rStyle w:val="FootnoteReference"/>
        </w:rPr>
        <w:footnoteReference w:id="2"/>
      </w:r>
      <w:r>
        <w:rPr/>
        <w:t xml:space="preserve"> in full compensation for all of Contractors’ costs and price adjustments through the date of this Agreement, including, without limitation, all shift premium costs all costs related to grid delays, schedule inefficiencies, and out of sequence work, and all other indirect costs incurred by Contractors.  In the event that Contractors fail to cause Phase III of the Facility to achieve Provisional Completion on or before February </w:t>
      </w:r>
      <w:r>
        <w:rPr>
          <w:b/>
          <w:bCs/>
        </w:rPr>
        <w:t>[___]</w:t>
      </w:r>
      <w:r>
        <w:rPr/>
        <w:t xml:space="preserve">, 2001, and such failure is caused by a delay for which SCC is responsible under the terms of the EPC Contract, SCC will compensate Contractors at the rate of Thirty Thousand Dollars ($30,000) per day for each day of such delay. </w:t>
      </w:r>
    </w:p>
    <w:p>
      <w:pPr>
        <w:pStyle w:val="BodyTextIndent"/>
        <w:ind w:start="0" w:end="0"/>
        <w:jc w:val="both"/>
        <w:rPr/>
      </w:pPr>
      <w:r>
        <w:rPr/>
      </w:r>
    </w:p>
    <w:p>
      <w:pPr>
        <w:pStyle w:val="BodyTextIndent"/>
        <w:numPr>
          <w:ilvl w:val="0"/>
          <w:numId w:val="2"/>
        </w:numPr>
        <w:tabs>
          <w:tab w:val="clear" w:pos="720"/>
        </w:tabs>
        <w:ind w:hanging="720" w:start="720" w:end="0"/>
        <w:jc w:val="both"/>
        <w:rPr>
          <w:b/>
          <w:u w:val="single"/>
        </w:rPr>
      </w:pPr>
      <w:r>
        <w:rPr>
          <w:b/>
          <w:u w:val="single"/>
        </w:rPr>
        <w:t>Phase III Substantial Completion</w:t>
      </w:r>
      <w:r>
        <w:rPr>
          <w:b/>
        </w:rPr>
        <w:t>.</w:t>
      </w:r>
    </w:p>
    <w:p>
      <w:pPr>
        <w:pStyle w:val="BodyTextIndent"/>
        <w:ind w:start="0" w:end="0"/>
        <w:jc w:val="both"/>
        <w:rPr>
          <w:b/>
          <w:u w:val="single"/>
        </w:rPr>
      </w:pPr>
      <w:r>
        <w:rPr>
          <w:b/>
          <w:u w:val="single"/>
        </w:rPr>
      </w:r>
    </w:p>
    <w:p>
      <w:pPr>
        <w:pStyle w:val="BodyText"/>
        <w:jc w:val="both"/>
        <w:rPr/>
      </w:pPr>
      <w:r>
        <w:rPr/>
        <w:t>Upon receipt by Contractors of sixty (60) days’ prior written notice of the availability of natural gas at the Site, Contractors agree to (i) remobilize their personnel to the Site, (ii) commission the Facility using natural gas, and  (iii) cause Phase III of the Facility to achieve Substantial Completion in accordance with Section 11.6 of the EPC Contract</w:t>
      </w:r>
      <w:r>
        <w:rPr>
          <w:b/>
          <w:bCs/>
        </w:rPr>
        <w:t xml:space="preserve">[; </w:t>
      </w:r>
      <w:r>
        <w:rPr>
          <w:b/>
          <w:bCs/>
          <w:u w:val="single"/>
        </w:rPr>
        <w:t>provided</w:t>
      </w:r>
      <w:r>
        <w:rPr>
          <w:b/>
          <w:bCs/>
        </w:rPr>
        <w:t xml:space="preserve">, </w:t>
      </w:r>
      <w:r>
        <w:rPr>
          <w:b/>
          <w:bCs/>
          <w:u w:val="single"/>
        </w:rPr>
        <w:t>however</w:t>
      </w:r>
      <w:r>
        <w:rPr>
          <w:b/>
          <w:bCs/>
        </w:rPr>
        <w:t>, that, if Contractors have caused Phase III of the Facility to pass the Sound Level Test on fuel oil in connection with Provisional Completion of Phase III of the Facility, Contractors shall not be required to demonstrate that Phase III of the Facility is capable of passing the Sound Level Test on natural gas as required by Section 11.6(vii) of the EPC Contract]</w:t>
      </w:r>
      <w:r>
        <w:rPr/>
        <w:t>.</w:t>
      </w:r>
      <w:r>
        <w:rPr>
          <w:rStyle w:val="FootnoteCharacters"/>
          <w:rStyle w:val="FootnoteReference"/>
        </w:rPr>
        <w:footnoteReference w:id="3"/>
      </w:r>
      <w:r>
        <w:rPr/>
        <w:t xml:space="preserve">  Contractors shall provide to SCC and Owner written notice of the date on which Contractors commence commissioning of the Facility using natural gas.</w:t>
      </w:r>
    </w:p>
    <w:p>
      <w:pPr>
        <w:pStyle w:val="BodyTextIndent"/>
        <w:ind w:start="0" w:end="0"/>
        <w:jc w:val="both"/>
        <w:rPr/>
      </w:pPr>
      <w:r>
        <w:rPr/>
      </w:r>
    </w:p>
    <w:p>
      <w:pPr>
        <w:pStyle w:val="BodyTextIndent3"/>
        <w:ind w:start="0" w:end="0"/>
        <w:rPr/>
      </w:pPr>
      <w:r>
        <w:rPr/>
        <w:t>The test protocol for the Phase III Performance Test, using natural gas, will be in accordance with Exhibit E – Performance Test Procedure</w:t>
      </w:r>
      <w:r>
        <w:rPr>
          <w:b/>
          <w:bCs/>
        </w:rPr>
        <w:t>[, which test protocol is to be mutually agreed]</w:t>
      </w:r>
      <w:r>
        <w:rPr/>
        <w:t>.</w:t>
      </w:r>
      <w:r>
        <w:rPr>
          <w:rStyle w:val="FootnoteCharacters"/>
          <w:rStyle w:val="FootnoteReference"/>
        </w:rPr>
        <w:footnoteReference w:id="4"/>
      </w:r>
      <w:r>
        <w:rPr/>
        <w:t xml:space="preserve">   All applicable completion and performance guarantees set forth in Article 13 of the EPC Contract will remain in force and apply to the Performance Test using natural gas</w:t>
      </w:r>
      <w:r>
        <w:rPr>
          <w:b/>
          <w:bCs/>
        </w:rPr>
        <w:t xml:space="preserve">[; </w:t>
      </w:r>
      <w:r>
        <w:rPr>
          <w:b/>
          <w:bCs/>
          <w:u w:val="single"/>
        </w:rPr>
        <w:t>provided</w:t>
      </w:r>
      <w:r>
        <w:rPr>
          <w:b/>
          <w:bCs/>
        </w:rPr>
        <w:t xml:space="preserve">, </w:t>
      </w:r>
      <w:r>
        <w:rPr>
          <w:b/>
          <w:bCs/>
          <w:u w:val="single"/>
        </w:rPr>
        <w:t>however</w:t>
      </w:r>
      <w:r>
        <w:rPr>
          <w:b/>
          <w:bCs/>
        </w:rPr>
        <w:t>, that, if Contractors have caused Phase III of the Facility to pass the Sound Level Test on fuel oil in connection with Provisional Completion of Phase III of the Facility, Contractors shall not be required to demonstrate that Phase III of the Facility is capable of satisfying the Sound Level Guarantees set forth in Section 13.8 of the EPC Contract]</w:t>
      </w:r>
      <w:r>
        <w:rPr/>
        <w:t>.</w:t>
      </w:r>
      <w:r>
        <w:rPr>
          <w:rStyle w:val="FootnoteCharacters"/>
        </w:rPr>
        <w:t xml:space="preserve"> </w:t>
      </w:r>
      <w:r>
        <w:rPr>
          <w:rStyle w:val="FootnoteCharacters"/>
          <w:rStyle w:val="FootnoteReference"/>
        </w:rPr>
        <w:footnoteReference w:id="5"/>
      </w:r>
      <w:r>
        <w:rPr/>
        <w:t xml:space="preserve">  </w:t>
      </w:r>
    </w:p>
    <w:p>
      <w:pPr>
        <w:pStyle w:val="BodyTextIndent3"/>
        <w:ind w:start="0" w:end="0"/>
        <w:rPr/>
      </w:pPr>
      <w:r>
        <w:rPr/>
      </w:r>
    </w:p>
    <w:p>
      <w:pPr>
        <w:pStyle w:val="BodyTextIndent3"/>
        <w:ind w:start="0" w:end="0"/>
        <w:rPr/>
      </w:pPr>
      <w:r>
        <w:rPr/>
        <w:t xml:space="preserve">Notwithstanding anything to the contrary herein or in the EPC Contract, in the event that natural gas is not available at the Site on or before </w:t>
      </w:r>
      <w:r>
        <w:rPr>
          <w:b/>
          <w:bCs/>
        </w:rPr>
        <w:t>[March 31, 2002]</w:t>
      </w:r>
      <w:r>
        <w:rPr/>
        <w:t xml:space="preserve">, Contractors shall not be required to cause Phase III of the Facility to achieve Substantial Completion; </w:t>
      </w:r>
      <w:r>
        <w:rPr>
          <w:u w:val="single"/>
        </w:rPr>
        <w:t>provided</w:t>
      </w:r>
      <w:r>
        <w:rPr/>
        <w:t xml:space="preserve">, </w:t>
      </w:r>
      <w:r>
        <w:rPr>
          <w:u w:val="single"/>
        </w:rPr>
        <w:t>however</w:t>
      </w:r>
      <w:r>
        <w:rPr/>
        <w:t>, that the parties shall in good faith negotiate mutually satisfactory terms and conditions upon which Contractors shall perform the commissioning and performance testing of the Facility, using natural gas, upon the availability of natural gas at the Site.</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BodyTextIndent"/>
        <w:numPr>
          <w:ilvl w:val="0"/>
          <w:numId w:val="2"/>
        </w:numPr>
        <w:tabs>
          <w:tab w:val="clear" w:pos="720"/>
        </w:tabs>
        <w:ind w:hanging="720" w:start="720" w:end="0"/>
        <w:jc w:val="both"/>
        <w:rPr/>
      </w:pPr>
      <w:r>
        <w:rPr>
          <w:b/>
          <w:u w:val="single"/>
        </w:rPr>
        <w:t>Facility Oversight during Period between Provisional Completion of Phase III of the Facility and Commencement of Commissioning and Performance Testing Using Natural Gas.</w:t>
      </w:r>
    </w:p>
    <w:p>
      <w:pPr>
        <w:pStyle w:val="BodyTextIndent"/>
        <w:ind w:start="0" w:end="0"/>
        <w:jc w:val="both"/>
        <w:rPr/>
      </w:pPr>
      <w:r>
        <w:rPr/>
      </w:r>
    </w:p>
    <w:p>
      <w:pPr>
        <w:pStyle w:val="BodyTextIndent"/>
        <w:ind w:start="0" w:end="0"/>
        <w:jc w:val="both"/>
        <w:rPr/>
      </w:pPr>
      <w:r>
        <w:rPr/>
        <w:t>It is understood and agreed that Contractors will enter into a separate technical service agreement with EPE-Empresa Produtora de Energia Ltda. (“</w:t>
      </w:r>
      <w:r>
        <w:rPr>
          <w:u w:val="single"/>
        </w:rPr>
        <w:t>Owner</w:t>
      </w:r>
      <w:r>
        <w:rPr/>
        <w:t>”), under the terms of which Contractors will provide operations/commissioning personnel to assist Owner’s operating staff in monitoring the day to day operations of the Facility during the period between the date of Provisional Completion of Phase III of the Facility and the commencement by Contractors of the commissioning and performance testing of the Facility</w:t>
      </w:r>
      <w:ins w:id="0" w:author="VE" w:date="2001-01-16T01:54:00Z">
        <w:r>
          <w:rPr/>
          <w:t xml:space="preserve"> </w:t>
        </w:r>
      </w:ins>
      <w:r>
        <w:rPr/>
        <w:t xml:space="preserve">using natural gas.  </w:t>
      </w:r>
    </w:p>
    <w:p>
      <w:pPr>
        <w:pStyle w:val="BodyTextIndent"/>
        <w:ind w:start="0" w:end="0"/>
        <w:jc w:val="both"/>
        <w:rPr/>
      </w:pPr>
      <w:r>
        <w:rPr/>
      </w:r>
    </w:p>
    <w:p>
      <w:pPr>
        <w:pStyle w:val="Normal"/>
        <w:numPr>
          <w:ilvl w:val="0"/>
          <w:numId w:val="2"/>
        </w:numPr>
        <w:tabs>
          <w:tab w:val="clear" w:pos="720"/>
        </w:tabs>
        <w:spacing w:lineRule="atLeast" w:line="240"/>
        <w:ind w:hanging="720" w:start="720" w:end="0"/>
        <w:rPr>
          <w:rFonts w:ascii="Tms Rmn;Times New Roman" w:hAnsi="Tms Rmn;Times New Roman" w:cs="Tms Rmn;Times New Roman"/>
          <w:sz w:val="24"/>
        </w:rPr>
      </w:pPr>
      <w:r>
        <w:rPr>
          <w:rFonts w:cs="Tms Rmn;Times New Roman" w:ascii="Tms Rmn;Times New Roman" w:hAnsi="Tms Rmn;Times New Roman"/>
          <w:b/>
          <w:sz w:val="24"/>
          <w:u w:val="single"/>
        </w:rPr>
        <w:t>Degradation.</w:t>
      </w:r>
      <w:r>
        <w:rPr>
          <w:rFonts w:cs="Tms Rmn;Times New Roman" w:ascii="Tms Rmn;Times New Roman" w:hAnsi="Tms Rmn;Times New Roman"/>
          <w:sz w:val="24"/>
        </w:rPr>
        <w:t xml:space="preserve"> </w:t>
      </w:r>
    </w:p>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BodyText"/>
        <w:jc w:val="both"/>
        <w:rPr/>
      </w:pPr>
      <w:r>
        <w:rPr/>
        <w:t>SCC and Contractors shall negotiate in good faith to agree upon the use and application of correction/degradation curves for the Phase III Performance Test, using natural gas.  In the event that the parties after good faith negotiation cannot agree on the use and application of correction/degradation curves, at the request of either party, a Performance Test, using fuel oil, will be performed in order to establish a baseline measurement.  Such measurement will then be repeated just prior to the commencement by Contractors of the commissioning of the Facility, using natural gas, in order to provide a baseline comparison of the performance of the Facility from the date of Provisional Completion of Phase III of the Facility</w:t>
      </w:r>
      <w:ins w:id="1" w:author="VE" w:date="2001-01-16T01:54:00Z">
        <w:r>
          <w:rPr/>
          <w:t xml:space="preserve"> </w:t>
        </w:r>
      </w:ins>
      <w:r>
        <w:rPr/>
        <w:t xml:space="preserve">until the date of commencement by Contractors of the commissioning of the Facility, using natural gas.  Any uncertainties or contingencies arising from the interpretation of test results shall not accrue to the favor of either Contractors or SCC.  The cost of baseline performance testing, if necessary, shall be borne by SCC. </w:t>
      </w:r>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Heading1"/>
        <w:numPr>
          <w:ilvl w:val="0"/>
          <w:numId w:val="2"/>
        </w:numPr>
        <w:tabs>
          <w:tab w:val="clear" w:pos="720"/>
        </w:tabs>
        <w:ind w:hanging="720" w:start="720" w:end="0"/>
        <w:rPr/>
      </w:pPr>
      <w:r>
        <w:rPr/>
        <w:t>Compensation for Commissioning and Performance Testing on Natural Gas</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BodyText"/>
        <w:jc w:val="both"/>
        <w:rPr/>
      </w:pPr>
      <w:r>
        <w:rPr/>
        <w:t>Following remobilization by Contractors of their personnel to the Site, Work related to the commissioning and performance testing of the Facility, using natural gas, will be performed by Contractors on a time and materials, cost reimbursable basis at the rates set forth in Annex 1 hereto;</w:t>
      </w:r>
      <w:r>
        <w:rPr>
          <w:rStyle w:val="FootnoteCharacters"/>
          <w:rStyle w:val="FootnoteReference"/>
          <w:rFonts w:cs="Tms Rmn;Times New Roman" w:ascii="Tms Rmn;Times New Roman" w:hAnsi="Tms Rmn;Times New Roman"/>
        </w:rPr>
        <w:footnoteReference w:id="6"/>
      </w:r>
      <w:r>
        <w:rPr/>
        <w:t xml:space="preserve"> </w:t>
      </w:r>
      <w:r>
        <w:rPr>
          <w:u w:val="single"/>
        </w:rPr>
        <w:t>provided</w:t>
      </w:r>
      <w:r>
        <w:rPr/>
        <w:t xml:space="preserve">, </w:t>
      </w:r>
      <w:r>
        <w:rPr>
          <w:u w:val="single"/>
        </w:rPr>
        <w:t>however</w:t>
      </w:r>
      <w:r>
        <w:rPr/>
        <w:t xml:space="preserve">, that in no event shall the aggregate cost of such Work exceed the sum of </w:t>
      </w:r>
      <w:r>
        <w:rPr>
          <w:b/>
          <w:bCs/>
        </w:rPr>
        <w:t>[Eight Hundred Thousand Dollars ($800,000)]</w:t>
      </w:r>
      <w:r>
        <w:rPr/>
        <w:t>;</w:t>
      </w:r>
      <w:r>
        <w:rPr>
          <w:rStyle w:val="FootnoteCharacters"/>
          <w:rStyle w:val="FootnoteReference"/>
          <w:rFonts w:cs="Tms Rmn;Times New Roman" w:ascii="Tms Rmn;Times New Roman" w:hAnsi="Tms Rmn;Times New Roman"/>
        </w:rPr>
        <w:footnoteReference w:id="7"/>
      </w:r>
      <w:r>
        <w:rPr/>
        <w:t xml:space="preserve"> </w:t>
      </w:r>
      <w:r>
        <w:rPr>
          <w:u w:val="single"/>
        </w:rPr>
        <w:t>provided</w:t>
      </w:r>
      <w:r>
        <w:rPr/>
        <w:t xml:space="preserve"> </w:t>
      </w:r>
      <w:r>
        <w:rPr>
          <w:u w:val="single"/>
        </w:rPr>
        <w:t>further</w:t>
      </w:r>
      <w:r>
        <w:rPr/>
        <w:t xml:space="preserve">, </w:t>
      </w:r>
      <w:r>
        <w:rPr>
          <w:u w:val="single"/>
        </w:rPr>
        <w:t>however</w:t>
      </w:r>
      <w:r>
        <w:rPr/>
        <w:t>, that SCC shall not be obligated to pay or reimburse Contractors for the cost of time or materials used or spent by Contractors in connection with the identification, correction, repair, or remediation of any technology-related failures or problems.</w:t>
      </w:r>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Normal"/>
        <w:numPr>
          <w:ilvl w:val="0"/>
          <w:numId w:val="2"/>
        </w:numPr>
        <w:tabs>
          <w:tab w:val="clear" w:pos="720"/>
        </w:tabs>
        <w:spacing w:lineRule="atLeast" w:line="240"/>
        <w:ind w:hanging="720" w:start="720" w:end="0"/>
        <w:rPr>
          <w:rFonts w:ascii="Tms Rmn;Times New Roman" w:hAnsi="Tms Rmn;Times New Roman" w:cs="Tms Rmn;Times New Roman"/>
          <w:sz w:val="24"/>
        </w:rPr>
      </w:pPr>
      <w:r>
        <w:rPr>
          <w:rFonts w:cs="Tms Rmn;Times New Roman" w:ascii="Tms Rmn;Times New Roman" w:hAnsi="Tms Rmn;Times New Roman"/>
          <w:b/>
          <w:sz w:val="24"/>
          <w:u w:val="single"/>
        </w:rPr>
        <w:t>Warranty Period</w:t>
      </w:r>
      <w:r>
        <w:rPr>
          <w:rFonts w:cs="Tms Rmn;Times New Roman" w:ascii="Tms Rmn;Times New Roman" w:hAnsi="Tms Rmn;Times New Roman"/>
          <w:sz w:val="24"/>
        </w:rPr>
        <w:t>.</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t>SCC and Contractors agree that the third sentence of Section 12.1 of the EPC Contract is amended hereby to delete the phrase “(c) for a period of twelve (12) months for Phase III” and to insert in lieu thereof the phrase “(c) for a period of six (6) months for Phase III”.</w:t>
      </w:r>
      <w:r>
        <w:rPr>
          <w:rStyle w:val="FootnoteCharacters"/>
          <w:rStyle w:val="FootnoteReference"/>
          <w:rFonts w:cs="Tms Rmn;Times New Roman" w:ascii="Tms Rmn;Times New Roman" w:hAnsi="Tms Rmn;Times New Roman"/>
          <w:sz w:val="24"/>
        </w:rPr>
        <w:footnoteReference w:id="8"/>
      </w:r>
      <w:r>
        <w:rPr>
          <w:rFonts w:cs="Tms Rmn;Times New Roman" w:ascii="Tms Rmn;Times New Roman" w:hAnsi="Tms Rmn;Times New Roman"/>
          <w:sz w:val="24"/>
        </w:rPr>
        <w:t xml:space="preserve">  Contractors and SCC agree that the Primary Warranty Period for Phase III of the Facility shall commence upon the date that Provisional Completion of Phase III of the Facility occurs.</w:t>
      </w:r>
      <w:r>
        <w:rPr>
          <w:rStyle w:val="FootnoteCharacters"/>
          <w:rStyle w:val="FootnoteReference"/>
          <w:rFonts w:cs="Tms Rmn;Times New Roman" w:ascii="Tms Rmn;Times New Roman" w:hAnsi="Tms Rmn;Times New Roman"/>
          <w:sz w:val="24"/>
        </w:rPr>
        <w:footnoteReference w:id="9"/>
      </w:r>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Heading1"/>
        <w:numPr>
          <w:ilvl w:val="0"/>
          <w:numId w:val="2"/>
        </w:numPr>
        <w:tabs>
          <w:tab w:val="clear" w:pos="720"/>
        </w:tabs>
        <w:ind w:hanging="720" w:start="720" w:end="0"/>
        <w:rPr/>
      </w:pPr>
      <w:r>
        <w:rPr/>
        <w:t>Option for Extended Warranty Period</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t>At any time before the expiration of the Primary Warranty Period for Phase III, SCC or Owner shall be entitled to extend the Primary Warranty Period for an additional six (6) months by giving Contractors written notice of SCC’s or Owner’s, as the case may be, intent to so extend the Primary Warranty Period.  In such event, SCC or Owner, as applicable, shall pay to Contractors the sum of One Hundred Seventy-five Thousand Dollars ($175,000) per month for each month of such extended Primary Warranty Period.  Contractors shall provide one (1) full time warranty engineer on Site for the duration of such extended Primary Warranty Period.</w:t>
      </w:r>
    </w:p>
    <w:p>
      <w:pPr>
        <w:pStyle w:val="Normal"/>
        <w:spacing w:lineRule="atLeast" w:line="240"/>
        <w:jc w:val="both"/>
        <w:rPr>
          <w:rFonts w:ascii="Tms Rmn;Times New Roman" w:hAnsi="Tms Rmn;Times New Roman" w:cs="Tms Rmn;Times New Roman"/>
          <w:b/>
          <w:bCs/>
          <w:sz w:val="24"/>
        </w:rPr>
      </w:pPr>
      <w:r>
        <w:rPr>
          <w:rFonts w:cs="Tms Rmn;Times New Roman" w:ascii="Tms Rmn;Times New Roman" w:hAnsi="Tms Rmn;Times New Roman"/>
          <w:b/>
          <w:bCs/>
          <w:sz w:val="24"/>
        </w:rPr>
      </w:r>
    </w:p>
    <w:p>
      <w:pPr>
        <w:pStyle w:val="Normal"/>
        <w:numPr>
          <w:ilvl w:val="0"/>
          <w:numId w:val="2"/>
        </w:numPr>
        <w:tabs>
          <w:tab w:val="clear" w:pos="720"/>
        </w:tabs>
        <w:spacing w:lineRule="atLeast" w:line="240"/>
        <w:ind w:hanging="720" w:start="720" w:end="0"/>
        <w:rPr>
          <w:rFonts w:ascii="Tms Rmn;Times New Roman" w:hAnsi="Tms Rmn;Times New Roman" w:cs="Tms Rmn;Times New Roman"/>
          <w:b/>
          <w:bCs/>
          <w:sz w:val="24"/>
        </w:rPr>
      </w:pPr>
      <w:r>
        <w:rPr>
          <w:rFonts w:cs="Tms Rmn;Times New Roman" w:ascii="Tms Rmn;Times New Roman" w:hAnsi="Tms Rmn;Times New Roman"/>
          <w:b/>
          <w:bCs/>
          <w:sz w:val="24"/>
          <w:u w:val="single"/>
        </w:rPr>
        <w:t>Performance Liquidated Damages</w:t>
      </w:r>
      <w:r>
        <w:rPr>
          <w:rFonts w:cs="Tms Rmn;Times New Roman" w:ascii="Tms Rmn;Times New Roman" w:hAnsi="Tms Rmn;Times New Roman"/>
          <w:b/>
          <w:bCs/>
          <w:sz w:val="24"/>
        </w:rPr>
        <w:t>.</w:t>
      </w:r>
    </w:p>
    <w:p>
      <w:pPr>
        <w:pStyle w:val="Normal"/>
        <w:spacing w:lineRule="atLeast" w:line="240"/>
        <w:rPr>
          <w:rFonts w:ascii="Tms Rmn;Times New Roman" w:hAnsi="Tms Rmn;Times New Roman" w:cs="Tms Rmn;Times New Roman"/>
          <w:b/>
          <w:bCs/>
          <w:sz w:val="24"/>
          <w:u w:val="single"/>
        </w:rPr>
      </w:pPr>
      <w:r>
        <w:rPr>
          <w:rFonts w:cs="Tms Rmn;Times New Roman" w:ascii="Tms Rmn;Times New Roman" w:hAnsi="Tms Rmn;Times New Roman"/>
          <w:b/>
          <w:bCs/>
          <w:sz w:val="24"/>
          <w:u w:val="single"/>
        </w:rPr>
      </w:r>
    </w:p>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t xml:space="preserve">Performance Liquidated Damages will apply to the Phase III Performance Tests on natural gas in accordance with Article 13 of the EPC Contract.  Performance Liquidate Damages shall not be applicable to the Phase III Performance Tests on fuel oil.  </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Heading1"/>
        <w:numPr>
          <w:ilvl w:val="0"/>
          <w:numId w:val="2"/>
        </w:numPr>
        <w:tabs>
          <w:tab w:val="clear" w:pos="720"/>
        </w:tabs>
        <w:ind w:hanging="720" w:start="720" w:end="0"/>
        <w:rPr>
          <w:u w:val="none"/>
        </w:rPr>
      </w:pPr>
      <w:r>
        <w:rPr/>
        <w:t>Phase III Delay Liquidated Damages</w:t>
      </w:r>
      <w:r>
        <w:rPr>
          <w:u w:val="none"/>
        </w:rPr>
        <w:t xml:space="preserve">. </w:t>
      </w:r>
    </w:p>
    <w:p>
      <w:pPr>
        <w:pStyle w:val="Heading1"/>
        <w:ind w:start="0" w:end="0"/>
        <w:rPr>
          <w:u w:val="none"/>
        </w:rPr>
      </w:pPr>
      <w:r>
        <w:rPr>
          <w:u w:val="none"/>
        </w:rPr>
      </w:r>
    </w:p>
    <w:p>
      <w:pPr>
        <w:pStyle w:val="Heading1"/>
        <w:ind w:start="0" w:end="0"/>
        <w:jc w:val="both"/>
        <w:rPr/>
      </w:pPr>
      <w:r>
        <w:rPr>
          <w:b w:val="false"/>
          <w:u w:val="none"/>
        </w:rPr>
        <w:t xml:space="preserve">Contractors shall cause Substantial Completion of Phase III of the Facility to occur on or before the date that is </w:t>
      </w:r>
      <w:r>
        <w:rPr>
          <w:bCs/>
          <w:u w:val="none"/>
        </w:rPr>
        <w:t>[sixty (60)]</w:t>
      </w:r>
      <w:r>
        <w:rPr>
          <w:b w:val="false"/>
          <w:u w:val="none"/>
        </w:rPr>
        <w:t xml:space="preserve"> days</w:t>
      </w:r>
      <w:r>
        <w:rPr>
          <w:rStyle w:val="FootnoteCharacters"/>
          <w:rStyle w:val="FootnoteReference"/>
          <w:bCs/>
          <w:u w:val="none"/>
        </w:rPr>
        <w:footnoteReference w:id="10"/>
      </w:r>
      <w:r>
        <w:rPr>
          <w:b w:val="false"/>
          <w:u w:val="none"/>
        </w:rPr>
        <w:t xml:space="preserve"> after the date on which Contractors commence commissioning of the Facility using natural gas (as notified by Contractors under Section 3 hereof).  If Contractors fail to cause Phase III of the Facility to achieve Substantial Completion on or before such date, Contractors shall pay to SCC Delay Liquidated Damages – Phase III for each day that Substantial Completion of Phase III occurs after such date.</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Normal"/>
        <w:keepNext w:val="true"/>
        <w:numPr>
          <w:ilvl w:val="0"/>
          <w:numId w:val="2"/>
        </w:numPr>
        <w:tabs>
          <w:tab w:val="clear" w:pos="720"/>
        </w:tabs>
        <w:spacing w:lineRule="atLeast" w:line="240"/>
        <w:ind w:hanging="720" w:start="720" w:end="0"/>
        <w:rPr>
          <w:rFonts w:ascii="Tms Rmn;Times New Roman" w:hAnsi="Tms Rmn;Times New Roman" w:cs="Tms Rmn;Times New Roman"/>
          <w:b/>
          <w:sz w:val="24"/>
        </w:rPr>
      </w:pPr>
      <w:r>
        <w:rPr>
          <w:rFonts w:cs="Tms Rmn;Times New Roman" w:ascii="Tms Rmn;Times New Roman" w:hAnsi="Tms Rmn;Times New Roman"/>
          <w:b/>
          <w:sz w:val="24"/>
          <w:u w:val="single"/>
        </w:rPr>
        <w:t>Milestone Payment #9</w:t>
      </w:r>
      <w:r>
        <w:rPr>
          <w:rFonts w:cs="Tms Rmn;Times New Roman" w:ascii="Tms Rmn;Times New Roman" w:hAnsi="Tms Rmn;Times New Roman"/>
          <w:b/>
          <w:sz w:val="24"/>
        </w:rPr>
        <w:t>.</w:t>
      </w:r>
    </w:p>
    <w:p>
      <w:pPr>
        <w:pStyle w:val="Normal"/>
        <w:keepNext w:val="true"/>
        <w:spacing w:lineRule="atLeast" w:line="240"/>
        <w:jc w:val="both"/>
        <w:rPr>
          <w:rFonts w:ascii="Tms Rmn;Times New Roman" w:hAnsi="Tms Rmn;Times New Roman" w:cs="Tms Rmn;Times New Roman"/>
          <w:b/>
          <w:sz w:val="24"/>
        </w:rPr>
      </w:pPr>
      <w:r>
        <w:rPr>
          <w:rFonts w:cs="Tms Rmn;Times New Roman" w:ascii="Tms Rmn;Times New Roman" w:hAnsi="Tms Rmn;Times New Roman"/>
          <w:b/>
          <w:sz w:val="24"/>
        </w:rPr>
      </w:r>
    </w:p>
    <w:p>
      <w:pPr>
        <w:pStyle w:val="BodyTextIndent3"/>
        <w:keepNext w:val="true"/>
        <w:ind w:start="0" w:end="0"/>
        <w:rPr/>
      </w:pPr>
      <w:r>
        <w:rPr/>
        <w:t xml:space="preserve">Contractors will be deemed to have achieved Milestone #9, Commercial Operation Combined Cycle (Phase III), on the date that Provisional Completion of Phase III of the Facility occurs. </w:t>
      </w:r>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Normal"/>
        <w:numPr>
          <w:ilvl w:val="0"/>
          <w:numId w:val="2"/>
        </w:numPr>
        <w:tabs>
          <w:tab w:val="clear" w:pos="720"/>
        </w:tabs>
        <w:spacing w:lineRule="atLeast" w:line="240"/>
        <w:ind w:hanging="720" w:start="720" w:end="0"/>
        <w:rPr>
          <w:rFonts w:ascii="Tms Rmn;Times New Roman" w:hAnsi="Tms Rmn;Times New Roman" w:cs="Tms Rmn;Times New Roman"/>
          <w:b/>
          <w:sz w:val="24"/>
          <w:u w:val="single"/>
        </w:rPr>
      </w:pPr>
      <w:r>
        <w:rPr>
          <w:rFonts w:cs="Tms Rmn;Times New Roman" w:ascii="Tms Rmn;Times New Roman" w:hAnsi="Tms Rmn;Times New Roman"/>
          <w:b/>
          <w:sz w:val="24"/>
          <w:u w:val="single"/>
        </w:rPr>
        <w:t>Additional Requirements.</w:t>
      </w:r>
    </w:p>
    <w:p>
      <w:pPr>
        <w:pStyle w:val="Normal"/>
        <w:spacing w:lineRule="atLeast" w:line="240"/>
        <w:rPr>
          <w:rFonts w:ascii="Tms Rmn;Times New Roman" w:hAnsi="Tms Rmn;Times New Roman" w:cs="Tms Rmn;Times New Roman"/>
          <w:b/>
          <w:sz w:val="24"/>
          <w:u w:val="single"/>
        </w:rPr>
      </w:pPr>
      <w:r>
        <w:rPr>
          <w:rFonts w:cs="Tms Rmn;Times New Roman" w:ascii="Tms Rmn;Times New Roman" w:hAnsi="Tms Rmn;Times New Roman"/>
          <w:b/>
          <w:sz w:val="24"/>
          <w:u w:val="single"/>
        </w:rPr>
      </w:r>
    </w:p>
    <w:p>
      <w:pPr>
        <w:pStyle w:val="BodyTextIndent"/>
        <w:ind w:start="0" w:end="0"/>
        <w:jc w:val="both"/>
        <w:rPr/>
      </w:pPr>
      <w:r>
        <w:rPr/>
        <w:t>Contractors shall provide SCC prior to delivery by Contractors of the Provisional Completion Certificate for Phase III of the Facility  with a clear written statement of Contractors’ intentions regarding the use and possible change out to a new type of combustor tiles.</w:t>
      </w:r>
    </w:p>
    <w:p>
      <w:pPr>
        <w:pStyle w:val="Normal"/>
        <w:spacing w:lineRule="atLeast" w:line="240"/>
        <w:rPr/>
      </w:pPr>
      <w:r>
        <w:rPr/>
      </w:r>
    </w:p>
    <w:p>
      <w:pPr>
        <w:pStyle w:val="Heading1"/>
        <w:numPr>
          <w:ilvl w:val="0"/>
          <w:numId w:val="2"/>
        </w:numPr>
        <w:tabs>
          <w:tab w:val="clear" w:pos="720"/>
        </w:tabs>
        <w:ind w:hanging="720" w:start="720" w:end="0"/>
        <w:rPr/>
      </w:pPr>
      <w:r>
        <w:rPr/>
        <w:t>General.</w:t>
      </w:r>
    </w:p>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Normal"/>
        <w:numPr>
          <w:ilvl w:val="0"/>
          <w:numId w:val="3"/>
        </w:numPr>
        <w:tabs>
          <w:tab w:val="clear" w:pos="720"/>
        </w:tabs>
        <w:ind w:hanging="720" w:start="720" w:end="0"/>
        <w:jc w:val="both"/>
        <w:rPr>
          <w:sz w:val="24"/>
        </w:rPr>
      </w:pPr>
      <w:r>
        <w:rPr>
          <w:sz w:val="24"/>
        </w:rPr>
        <w:t xml:space="preserve">Contractors acknowledge and agree that all Work performed by Contractors under this letter agreement shall be subject to the warranty obligations set forth in Section 12.1 of the EPC Contract. </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Any disputes arising under or in connection with this letter agreement shall be resolved in accordance with the provisions of Article 19 of the EPC Contract.</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This letter agreement shall be governed by, and construed in accordance with, the laws of the State of New York.</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This letter agreement may be executed in one or more counterparts each of which shall be deemed an original and all of which shall be deemed one and the same agreement.</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This letter agreement, the EPC Contract, and the Technology Assurance Agreement, dated as of September 5, 1997 (“</w:t>
      </w:r>
      <w:r>
        <w:rPr>
          <w:sz w:val="24"/>
          <w:u w:val="single"/>
        </w:rPr>
        <w:t>TAA</w:t>
      </w:r>
      <w:r>
        <w:rPr>
          <w:sz w:val="24"/>
        </w:rPr>
        <w:t>”), between Owner and Siemens Aktiengesellschaft, and each other agreement delivered pursuant thereto or in connection therewith that is executed by each party contain the entire understanding of the parties with respect to the subject matter hereof and reflect the prior agreements and commitments of the parties with respect thereto.</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Section headings used in this letter agreement are for reference purposes only.</w:t>
      </w:r>
    </w:p>
    <w:p>
      <w:pPr>
        <w:pStyle w:val="Normal"/>
        <w:ind w:hanging="720" w:start="720" w:end="0"/>
        <w:jc w:val="both"/>
        <w:rPr>
          <w:sz w:val="24"/>
        </w:rPr>
      </w:pPr>
      <w:r>
        <w:rPr>
          <w:sz w:val="24"/>
        </w:rPr>
      </w:r>
    </w:p>
    <w:p>
      <w:pPr>
        <w:pStyle w:val="Normal"/>
        <w:numPr>
          <w:ilvl w:val="0"/>
          <w:numId w:val="3"/>
        </w:numPr>
        <w:tabs>
          <w:tab w:val="clear" w:pos="720"/>
        </w:tabs>
        <w:ind w:hanging="720" w:start="720" w:end="0"/>
        <w:jc w:val="both"/>
        <w:rPr>
          <w:sz w:val="24"/>
        </w:rPr>
      </w:pPr>
      <w:r>
        <w:rPr>
          <w:sz w:val="24"/>
        </w:rPr>
        <w:t>The agreements, waivers, amendments, and representations set forth in this letter agreement are expressly limited to their terms and do not purport to amend, supplement, or otherwise modify the EPC Contract (except to the extent set forth herein) or the TAA.</w:t>
      </w:r>
    </w:p>
    <w:p>
      <w:pPr>
        <w:pStyle w:val="Normal"/>
        <w:jc w:val="both"/>
        <w:rPr>
          <w:sz w:val="24"/>
        </w:rPr>
      </w:pPr>
      <w:r>
        <w:rPr>
          <w:sz w:val="24"/>
        </w:rPr>
      </w:r>
    </w:p>
    <w:p>
      <w:pPr>
        <w:pStyle w:val="Normal"/>
        <w:numPr>
          <w:ilvl w:val="0"/>
          <w:numId w:val="3"/>
        </w:numPr>
        <w:tabs>
          <w:tab w:val="clear" w:pos="720"/>
        </w:tabs>
        <w:ind w:hanging="720" w:start="720" w:end="0"/>
        <w:jc w:val="both"/>
        <w:rPr>
          <w:sz w:val="24"/>
        </w:rPr>
      </w:pPr>
      <w:r>
        <w:rPr>
          <w:sz w:val="24"/>
        </w:rPr>
        <w:t xml:space="preserve">SCC and Contractors agree that Owner shall be an express third-party beneficiary of, and have full rights of enforcement with respect to, Section 8 hereof. </w:t>
      </w:r>
    </w:p>
    <w:p>
      <w:pPr>
        <w:pStyle w:val="Normal"/>
        <w:tabs>
          <w:tab w:val="clear" w:pos="720"/>
          <w:tab w:val="left" w:pos="450" w:leader="none"/>
        </w:tabs>
        <w:jc w:val="both"/>
        <w:rPr>
          <w:sz w:val="24"/>
        </w:rPr>
      </w:pPr>
      <w:r>
        <w:rPr>
          <w:sz w:val="24"/>
        </w:rPr>
      </w:r>
    </w:p>
    <w:p>
      <w:pPr>
        <w:pStyle w:val="Normal"/>
        <w:keepNext w:val="true"/>
        <w:tabs>
          <w:tab w:val="clear" w:pos="720"/>
          <w:tab w:val="left" w:pos="450" w:leader="none"/>
        </w:tabs>
        <w:jc w:val="both"/>
        <w:rPr>
          <w:sz w:val="24"/>
        </w:rPr>
      </w:pPr>
      <w:r>
        <w:rPr>
          <w:sz w:val="24"/>
        </w:rPr>
        <w:t>If the foregoing represents your understanding of the agreement among SCC, Siemens Aktiengesellschaft, and Siemens Ltda., please sign and date the enclosed copy in the spaces provided below, and return the undersigned.</w:t>
      </w:r>
    </w:p>
    <w:p>
      <w:pPr>
        <w:pStyle w:val="Normal"/>
        <w:keepNext w:val="true"/>
        <w:tabs>
          <w:tab w:val="clear" w:pos="720"/>
          <w:tab w:val="left" w:pos="450" w:leader="none"/>
        </w:tabs>
        <w:jc w:val="both"/>
        <w:rPr>
          <w:sz w:val="24"/>
        </w:rPr>
      </w:pPr>
      <w:r>
        <w:rPr>
          <w:sz w:val="24"/>
        </w:rPr>
      </w:r>
    </w:p>
    <w:p>
      <w:pPr>
        <w:pStyle w:val="Normal"/>
        <w:keepNext w:val="true"/>
        <w:tabs>
          <w:tab w:val="clear" w:pos="720"/>
          <w:tab w:val="left" w:pos="450" w:leader="none"/>
        </w:tabs>
        <w:jc w:val="both"/>
        <w:rPr>
          <w:sz w:val="24"/>
        </w:rPr>
      </w:pPr>
      <w:r>
        <w:rPr>
          <w:sz w:val="24"/>
        </w:rPr>
        <w:t>Very truly yours,</w:t>
      </w:r>
    </w:p>
    <w:p>
      <w:pPr>
        <w:pStyle w:val="Normal"/>
        <w:keepNext w:val="true"/>
        <w:tabs>
          <w:tab w:val="clear" w:pos="720"/>
          <w:tab w:val="left" w:pos="450" w:leader="none"/>
        </w:tabs>
        <w:jc w:val="both"/>
        <w:rPr>
          <w:sz w:val="24"/>
        </w:rPr>
      </w:pPr>
      <w:r>
        <w:rPr>
          <w:sz w:val="24"/>
        </w:rPr>
      </w:r>
    </w:p>
    <w:p>
      <w:pPr>
        <w:pStyle w:val="Normal"/>
        <w:keepNext w:val="true"/>
        <w:tabs>
          <w:tab w:val="clear" w:pos="720"/>
          <w:tab w:val="left" w:pos="450" w:leader="none"/>
        </w:tabs>
        <w:jc w:val="both"/>
        <w:rPr>
          <w:sz w:val="24"/>
        </w:rPr>
      </w:pPr>
      <w:r>
        <w:rPr>
          <w:sz w:val="24"/>
        </w:rPr>
        <w:t>SUPERIOR CONSTRUCTION COMPANY</w:t>
      </w:r>
    </w:p>
    <w:p>
      <w:pPr>
        <w:pStyle w:val="Normal"/>
        <w:keepNext w:val="true"/>
        <w:tabs>
          <w:tab w:val="clear" w:pos="720"/>
          <w:tab w:val="left" w:pos="450" w:leader="none"/>
        </w:tabs>
        <w:jc w:val="both"/>
        <w:rPr>
          <w:sz w:val="24"/>
        </w:rPr>
      </w:pPr>
      <w:r>
        <w:rPr>
          <w:sz w:val="24"/>
        </w:rPr>
      </w:r>
    </w:p>
    <w:p>
      <w:pPr>
        <w:pStyle w:val="Normal"/>
        <w:keepNext w:val="true"/>
        <w:tabs>
          <w:tab w:val="clear" w:pos="720"/>
          <w:tab w:val="left" w:pos="450" w:leader="none"/>
        </w:tabs>
        <w:jc w:val="both"/>
        <w:rPr>
          <w:sz w:val="24"/>
        </w:rPr>
      </w:pPr>
      <w:r>
        <w:rPr>
          <w:sz w:val="24"/>
        </w:rPr>
      </w:r>
    </w:p>
    <w:p>
      <w:pPr>
        <w:pStyle w:val="Normal"/>
        <w:keepNext w:val="true"/>
        <w:tabs>
          <w:tab w:val="clear" w:pos="720"/>
          <w:tab w:val="left" w:pos="450" w:leader="none"/>
        </w:tabs>
        <w:jc w:val="both"/>
        <w:rPr>
          <w:sz w:val="24"/>
        </w:rPr>
      </w:pPr>
      <w:r>
        <w:rPr>
          <w:sz w:val="24"/>
        </w:rPr>
        <w:t>By:______________________________</w:t>
      </w:r>
    </w:p>
    <w:p>
      <w:pPr>
        <w:pStyle w:val="Normal"/>
        <w:keepNext w:val="true"/>
        <w:tabs>
          <w:tab w:val="clear" w:pos="720"/>
          <w:tab w:val="left" w:pos="450" w:leader="none"/>
        </w:tabs>
        <w:jc w:val="both"/>
        <w:rPr>
          <w:sz w:val="24"/>
        </w:rPr>
      </w:pPr>
      <w:r>
        <w:rPr>
          <w:sz w:val="24"/>
        </w:rPr>
        <w:t>Title:_____________________________</w:t>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pPr>
      <w:r>
        <w:rPr>
          <w:b/>
          <w:sz w:val="24"/>
          <w:u w:val="single"/>
        </w:rPr>
        <w:t>ACKNOWLEDGED AND AGREED</w:t>
      </w:r>
      <w:r>
        <w:rPr>
          <w:sz w:val="24"/>
        </w:rPr>
        <w:t>:</w:t>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sz w:val="24"/>
        </w:rPr>
      </w:pPr>
      <w:r>
        <w:rPr>
          <w:sz w:val="24"/>
        </w:rPr>
        <w:t>SIEMENS AKTIENGESELLSCHAFT</w:t>
        <w:tab/>
        <w:tab/>
        <w:tab/>
        <w:t>SIEMENS LTDA.</w:t>
      </w:r>
    </w:p>
    <w:p>
      <w:pPr>
        <w:pStyle w:val="Normal"/>
        <w:tabs>
          <w:tab w:val="clear" w:pos="720"/>
          <w:tab w:val="left" w:pos="450" w:leader="none"/>
        </w:tabs>
        <w:jc w:val="both"/>
        <w:rPr>
          <w:sz w:val="24"/>
        </w:rPr>
      </w:pPr>
      <w:r>
        <w:rPr>
          <w:sz w:val="24"/>
        </w:rPr>
      </w:r>
    </w:p>
    <w:p>
      <w:pPr>
        <w:pStyle w:val="Normal"/>
        <w:tabs>
          <w:tab w:val="clear" w:pos="720"/>
          <w:tab w:val="left" w:pos="450" w:leader="none"/>
        </w:tabs>
        <w:jc w:val="both"/>
        <w:rPr>
          <w:sz w:val="24"/>
        </w:rPr>
      </w:pPr>
      <w:r>
        <w:rPr>
          <w:sz w:val="24"/>
        </w:rPr>
        <w:t>By:______________________________</w:t>
        <w:tab/>
        <w:tab/>
        <w:tab/>
        <w:t>By:____________________________</w:t>
      </w:r>
    </w:p>
    <w:p>
      <w:pPr>
        <w:pStyle w:val="Normal"/>
        <w:tabs>
          <w:tab w:val="clear" w:pos="720"/>
          <w:tab w:val="left" w:pos="450" w:leader="none"/>
        </w:tabs>
        <w:jc w:val="both"/>
        <w:rPr>
          <w:sz w:val="24"/>
        </w:rPr>
      </w:pPr>
      <w:r>
        <w:rPr>
          <w:sz w:val="24"/>
        </w:rPr>
        <w:t>Name:____________________________</w:t>
        <w:tab/>
        <w:tab/>
        <w:tab/>
        <w:t>Name:__________________________</w:t>
      </w:r>
    </w:p>
    <w:p>
      <w:pPr>
        <w:pStyle w:val="Normal"/>
        <w:tabs>
          <w:tab w:val="clear" w:pos="720"/>
          <w:tab w:val="left" w:pos="450" w:leader="none"/>
        </w:tabs>
        <w:jc w:val="both"/>
        <w:rPr>
          <w:sz w:val="24"/>
        </w:rPr>
      </w:pPr>
      <w:r>
        <w:rPr>
          <w:sz w:val="24"/>
        </w:rPr>
        <w:t>Title:_____________________________</w:t>
        <w:tab/>
        <w:tab/>
        <w:tab/>
        <w:t>Title:___________________________</w:t>
      </w:r>
    </w:p>
    <w:p>
      <w:pPr>
        <w:pStyle w:val="Normal"/>
        <w:tabs>
          <w:tab w:val="clear" w:pos="720"/>
          <w:tab w:val="left" w:pos="450" w:leader="none"/>
        </w:tabs>
        <w:jc w:val="both"/>
        <w:rPr>
          <w:sz w:val="24"/>
        </w:rPr>
      </w:pPr>
      <w:r>
        <w:rPr>
          <w:sz w:val="24"/>
        </w:rPr>
        <w:t>Date:_____________________________</w:t>
        <w:tab/>
        <w:tab/>
        <w:tab/>
        <w:t>Date:___________________________</w:t>
      </w:r>
      <w:r>
        <w:br w:type="page"/>
      </w:r>
    </w:p>
    <w:p>
      <w:pPr>
        <w:pStyle w:val="Normal"/>
        <w:tabs>
          <w:tab w:val="clear" w:pos="720"/>
          <w:tab w:val="left" w:pos="450" w:leader="none"/>
        </w:tabs>
        <w:jc w:val="center"/>
        <w:rPr>
          <w:b/>
          <w:bCs/>
          <w:sz w:val="24"/>
        </w:rPr>
      </w:pPr>
      <w:r>
        <w:rPr>
          <w:b/>
          <w:bCs/>
          <w:sz w:val="24"/>
        </w:rPr>
        <w:t>ANNEX 1</w:t>
      </w:r>
    </w:p>
    <w:p>
      <w:pPr>
        <w:pStyle w:val="Normal"/>
        <w:tabs>
          <w:tab w:val="clear" w:pos="720"/>
          <w:tab w:val="left" w:pos="450" w:leader="none"/>
        </w:tabs>
        <w:jc w:val="center"/>
        <w:rPr>
          <w:b/>
          <w:bCs/>
          <w:sz w:val="24"/>
        </w:rPr>
      </w:pPr>
      <w:r>
        <w:rPr>
          <w:b/>
          <w:bCs/>
          <w:sz w:val="24"/>
        </w:rPr>
      </w:r>
    </w:p>
    <w:p>
      <w:pPr>
        <w:pStyle w:val="Normal"/>
        <w:tabs>
          <w:tab w:val="clear" w:pos="720"/>
          <w:tab w:val="left" w:pos="450" w:leader="none"/>
        </w:tabs>
        <w:jc w:val="center"/>
        <w:rPr>
          <w:sz w:val="24"/>
        </w:rPr>
      </w:pPr>
      <w:r>
        <w:rPr>
          <w:b/>
          <w:bCs/>
          <w:sz w:val="24"/>
          <w:u w:val="single"/>
        </w:rPr>
        <w:t>Rates</w:t>
      </w:r>
    </w:p>
    <w:p>
      <w:pPr>
        <w:pStyle w:val="Normal"/>
        <w:tabs>
          <w:tab w:val="clear" w:pos="720"/>
          <w:tab w:val="left" w:pos="450" w:leader="none"/>
        </w:tabs>
        <w:jc w:val="center"/>
        <w:rPr>
          <w:sz w:val="24"/>
        </w:rPr>
      </w:pPr>
      <w:r>
        <w:rPr>
          <w:sz w:val="24"/>
        </w:rPr>
      </w:r>
    </w:p>
    <w:p>
      <w:pPr>
        <w:pStyle w:val="Normal"/>
        <w:tabs>
          <w:tab w:val="clear" w:pos="720"/>
          <w:tab w:val="left" w:pos="450" w:leader="none"/>
        </w:tabs>
        <w:jc w:val="both"/>
        <w:rPr>
          <w:b/>
          <w:bCs/>
          <w:sz w:val="24"/>
        </w:rPr>
      </w:pPr>
      <w:r>
        <w:rPr>
          <w:b/>
          <w:bCs/>
          <w:sz w:val="24"/>
        </w:rPr>
        <w:t>[To be determined.]</w:t>
      </w:r>
    </w:p>
    <w:sectPr>
      <w:headerReference w:type="default" r:id="rId2"/>
      <w:footerReference w:type="default" r:id="rId3"/>
      <w:footnotePr>
        <w:numFmt w:val="decimal"/>
      </w:footnotePr>
      <w:type w:val="nextPage"/>
      <w:pgSz w:w="12240" w:h="15840"/>
      <w:pgMar w:left="108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Letter_Agreement____Siemens_SCC_re_EOT_1_.DOC</w:t>
    </w:r>
    <w:r>
      <w:rPr>
        <w:rStyle w:val="VEDocumentInformatio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b/>
          <w:bCs/>
        </w:rPr>
        <w:t>[V&amp;E Note:  Gross up to capture costs through the date of this Agreement.]</w:t>
      </w:r>
    </w:p>
  </w:footnote>
  <w:footnote w:id="3">
    <w:p>
      <w:pPr>
        <w:pStyle w:val="FootnoteText"/>
        <w:jc w:val="both"/>
        <w:rPr/>
      </w:pPr>
      <w:r>
        <w:rPr>
          <w:rStyle w:val="FootnoteCharacters"/>
        </w:rPr>
        <w:footnoteRef/>
      </w:r>
      <w:r>
        <w:rPr/>
        <w:t xml:space="preserve"> </w:t>
      </w:r>
      <w:r>
        <w:rPr>
          <w:b/>
          <w:bCs/>
        </w:rPr>
        <w:t>[V&amp;E Note:  Under review by Owner.]</w:t>
      </w:r>
    </w:p>
  </w:footnote>
  <w:footnote w:id="4">
    <w:p>
      <w:pPr>
        <w:pStyle w:val="FootnoteText"/>
        <w:rPr/>
      </w:pPr>
      <w:r>
        <w:rPr>
          <w:rStyle w:val="FootnoteCharacters"/>
        </w:rPr>
        <w:footnoteRef/>
      </w:r>
      <w:r>
        <w:rPr/>
        <w:t xml:space="preserve"> </w:t>
      </w:r>
      <w:r>
        <w:rPr>
          <w:b/>
          <w:bCs/>
        </w:rPr>
        <w:t>[V&amp;E Note:  Has this protocol not already been agreed?]</w:t>
      </w:r>
    </w:p>
  </w:footnote>
  <w:footnote w:id="5">
    <w:p>
      <w:pPr>
        <w:pStyle w:val="FootnoteText"/>
        <w:jc w:val="both"/>
        <w:rPr/>
      </w:pPr>
      <w:r>
        <w:rPr>
          <w:rStyle w:val="FootnoteCharacters"/>
        </w:rPr>
        <w:footnoteRef/>
      </w:r>
      <w:r>
        <w:rPr/>
        <w:t xml:space="preserve"> </w:t>
      </w:r>
      <w:r>
        <w:rPr>
          <w:b/>
          <w:bCs/>
        </w:rPr>
        <w:t>[V&amp;E Note:  Under review by Owner.]</w:t>
      </w:r>
    </w:p>
  </w:footnote>
  <w:footnote w:id="6">
    <w:p>
      <w:pPr>
        <w:pStyle w:val="FootnoteText"/>
        <w:rPr/>
      </w:pPr>
      <w:r>
        <w:rPr>
          <w:rStyle w:val="FootnoteCharacters"/>
        </w:rPr>
        <w:footnoteRef/>
      </w:r>
      <w:r>
        <w:rPr/>
        <w:t xml:space="preserve"> </w:t>
      </w:r>
      <w:r>
        <w:rPr>
          <w:b/>
          <w:bCs/>
        </w:rPr>
        <w:t>[V&amp;E Note:  Any reason this cannot be addressed now?  Surely they know how much their people cost, and we know how much is reasonable to pay.]</w:t>
      </w:r>
    </w:p>
  </w:footnote>
  <w:footnote w:id="7">
    <w:p>
      <w:pPr>
        <w:pStyle w:val="FootnoteText"/>
        <w:rPr/>
      </w:pPr>
      <w:r>
        <w:rPr>
          <w:rStyle w:val="FootnoteCharacters"/>
        </w:rPr>
        <w:footnoteRef/>
      </w:r>
      <w:r>
        <w:rPr/>
        <w:t xml:space="preserve"> </w:t>
      </w:r>
      <w:r>
        <w:rPr>
          <w:b/>
          <w:bCs/>
        </w:rPr>
        <w:t>[V&amp;E Note:  This is not the exact number, but it is here for illustrative purposes only.]</w:t>
      </w:r>
    </w:p>
  </w:footnote>
  <w:footnote w:id="8">
    <w:p>
      <w:pPr>
        <w:pStyle w:val="FootnoteText"/>
        <w:jc w:val="both"/>
        <w:rPr/>
      </w:pPr>
      <w:r>
        <w:rPr>
          <w:rStyle w:val="FootnoteCharacters"/>
        </w:rPr>
        <w:footnoteRef/>
      </w:r>
      <w:r>
        <w:rPr/>
        <w:t xml:space="preserve"> </w:t>
      </w:r>
      <w:r>
        <w:rPr>
          <w:b/>
          <w:bCs/>
        </w:rPr>
        <w:t>[V&amp;E Note:  We want to avoid the implication that the extended warranty is not applicable to parts provided or repairs made by Contractors to Phase III after completion.]</w:t>
      </w:r>
    </w:p>
  </w:footnote>
  <w:footnote w:id="9">
    <w:p>
      <w:pPr>
        <w:pStyle w:val="FootnoteText"/>
        <w:jc w:val="both"/>
        <w:rPr/>
      </w:pPr>
      <w:r>
        <w:rPr>
          <w:rStyle w:val="FootnoteCharacters"/>
        </w:rPr>
        <w:footnoteRef/>
      </w:r>
      <w:r>
        <w:rPr/>
        <w:t xml:space="preserve"> </w:t>
      </w:r>
      <w:r>
        <w:rPr>
          <w:b/>
          <w:bCs/>
        </w:rPr>
        <w:t>[V&amp;E Note:  Owner to review further.  Seems appropriate that, at a minimum, Contractors provide warranty for Work they perform in connection with commissioning and performance testing on natural gas.]</w:t>
      </w:r>
    </w:p>
  </w:footnote>
  <w:footnote w:id="10">
    <w:p>
      <w:pPr>
        <w:pStyle w:val="FootnoteText"/>
        <w:rPr/>
      </w:pPr>
      <w:r>
        <w:rPr>
          <w:rStyle w:val="FootnoteCharacters"/>
        </w:rPr>
        <w:footnoteRef/>
      </w:r>
      <w:r>
        <w:rPr/>
        <w:t xml:space="preserve"> </w:t>
      </w:r>
      <w:r>
        <w:rPr>
          <w:b/>
          <w:bCs/>
        </w:rPr>
        <w:t>[V&amp;E Note:  Owner to review further.]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iCs/>
        <w:sz w:val="24"/>
      </w:rPr>
    </w:pPr>
    <w:r>
      <w:rPr>
        <w:b/>
        <w:i/>
        <w:iCs/>
        <w:sz w:val="24"/>
      </w:rPr>
      <w:t>V&amp;E Comments:  1/15/01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lowerLetter"/>
      <w:lvlText w:val="(%1)"/>
      <w:lvlJc w:val="start"/>
      <w:pPr>
        <w:tabs>
          <w:tab w:val="num" w:pos="360"/>
        </w:tabs>
        <w:ind w:start="360" w:hanging="360"/>
      </w:pPr>
      <w:rPr>
        <w:smallCaps w:val="false"/>
        <w:caps w:val="false"/>
        <w:sz w:val="24"/>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ind w:hanging="0" w:start="360" w:end="0"/>
      <w:outlineLvl w:val="0"/>
    </w:pPr>
    <w:rPr>
      <w:rFonts w:ascii="Tms Rmn;Times New Roman" w:hAnsi="Tms Rmn;Times New Roman" w:cs="Tms Rmn;Times New Roman"/>
      <w:b/>
      <w:sz w:val="24"/>
      <w:u w:val="single"/>
    </w:rPr>
  </w:style>
  <w:style w:type="paragraph" w:styleId="Heading2">
    <w:name w:val="heading 2"/>
    <w:basedOn w:val="Normal"/>
    <w:next w:val="Normal"/>
    <w:qFormat/>
    <w:pPr>
      <w:keepNext w:val="true"/>
      <w:numPr>
        <w:ilvl w:val="1"/>
        <w:numId w:val="1"/>
      </w:numPr>
      <w:spacing w:lineRule="atLeast" w:line="240"/>
      <w:ind w:hanging="0" w:start="360" w:end="0"/>
      <w:outlineLvl w:val="1"/>
    </w:pPr>
    <w:rPr>
      <w:rFonts w:ascii="Tms Rmn;Times New Roman" w:hAnsi="Tms Rmn;Times New Roman" w:cs="Tms Rmn;Times New Roman"/>
      <w:sz w:val="24"/>
    </w:rPr>
  </w:style>
  <w:style w:type="paragraph" w:styleId="Heading3">
    <w:name w:val="heading 3"/>
    <w:basedOn w:val="Normal"/>
    <w:next w:val="Normal"/>
    <w:qFormat/>
    <w:pPr>
      <w:keepNext w:val="true"/>
      <w:numPr>
        <w:ilvl w:val="2"/>
        <w:numId w:val="1"/>
      </w:numPr>
      <w:spacing w:lineRule="atLeast" w:line="240"/>
      <w:ind w:firstLine="360" w:start="0" w:end="0"/>
      <w:outlineLvl w:val="2"/>
    </w:pPr>
    <w:rPr>
      <w:rFonts w:ascii="Tms Rmn;Times New Roman" w:hAnsi="Tms Rmn;Times New Roman" w:cs="Tms Rmn;Times New Roman"/>
      <w:b/>
      <w:sz w:val="24"/>
      <w:u w:val="single"/>
    </w:rPr>
  </w:style>
  <w:style w:type="paragraph" w:styleId="Heading4">
    <w:name w:val="heading 4"/>
    <w:basedOn w:val="Normal"/>
    <w:next w:val="Normal"/>
    <w:qFormat/>
    <w:pPr>
      <w:keepNext w:val="true"/>
      <w:numPr>
        <w:ilvl w:val="3"/>
        <w:numId w:val="1"/>
      </w:numPr>
      <w:jc w:val="center"/>
      <w:outlineLvl w:val="3"/>
    </w:pPr>
    <w:rPr>
      <w:b/>
      <w:sz w:val="28"/>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5"/>
        <w:numId w:val="1"/>
      </w:numPr>
      <w:outlineLvl w:val="5"/>
    </w:pPr>
    <w:rPr>
      <w:b/>
      <w:color w:val="FF0000"/>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pageBreakBefore/>
      <w:numPr>
        <w:ilvl w:val="7"/>
        <w:numId w:val="1"/>
      </w:numPr>
      <w:tabs>
        <w:tab w:val="clear" w:pos="720"/>
        <w:tab w:val="left" w:pos="450" w:leader="none"/>
      </w:tabs>
      <w:jc w:val="both"/>
      <w:outlineLvl w:val="7"/>
    </w:pPr>
    <w:rPr>
      <w:b/>
      <w:bCs/>
      <w:sz w:val="24"/>
      <w:u w:val="single"/>
    </w:rPr>
  </w:style>
  <w:style w:type="paragraph" w:styleId="Heading9">
    <w:name w:val="heading 9"/>
    <w:basedOn w:val="Normal"/>
    <w:next w:val="Normal"/>
    <w:qFormat/>
    <w:pPr>
      <w:keepNext w:val="true"/>
      <w:numPr>
        <w:ilvl w:val="8"/>
        <w:numId w:val="1"/>
      </w:numPr>
      <w:spacing w:lineRule="atLeast" w:line="240"/>
      <w:ind w:hanging="0" w:start="360" w:end="0"/>
      <w:jc w:val="both"/>
      <w:outlineLvl w:val="8"/>
    </w:pPr>
    <w:rPr>
      <w:rFonts w:ascii="Tms Rmn;Times New Roman" w:hAnsi="Tms Rmn;Times New Roman" w:cs="Tms Rmn;Times New Roman"/>
      <w:b/>
      <w:bCs/>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z w:val="28"/>
      <w:u w:val="non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z w:val="28"/>
      <w:u w:val="none"/>
    </w:rPr>
  </w:style>
  <w:style w:type="character" w:styleId="WW8Num16z0">
    <w:name w:val="WW8Num16z0"/>
    <w:qFormat/>
    <w:rPr>
      <w:sz w:val="28"/>
      <w:u w:val="none"/>
    </w:rPr>
  </w:style>
  <w:style w:type="character" w:styleId="WW8Num18z0">
    <w:name w:val="WW8Num18z0"/>
    <w:qFormat/>
    <w:rPr>
      <w:sz w:val="28"/>
      <w:u w:val="none"/>
    </w:rPr>
  </w:style>
  <w:style w:type="character" w:styleId="WW8Num19z0">
    <w:name w:val="WW8Num19z0"/>
    <w:qFormat/>
    <w:rPr>
      <w:rFonts w:ascii="Symbol" w:hAnsi="Symbol" w:cs="Symbol"/>
    </w:rPr>
  </w:style>
  <w:style w:type="character" w:styleId="WW8Num20z0">
    <w:name w:val="WW8Num20z0"/>
    <w:qFormat/>
    <w:rPr>
      <w:sz w:val="28"/>
    </w:rPr>
  </w:style>
  <w:style w:type="character" w:styleId="WW8Num21z0">
    <w:name w:val="WW8Num21z0"/>
    <w:qFormat/>
    <w:rPr>
      <w:rFonts w:ascii="Symbol" w:hAnsi="Symbol" w:cs="Symbol"/>
    </w:rPr>
  </w:style>
  <w:style w:type="character" w:styleId="WW8Num22z0">
    <w:name w:val="WW8Num22z0"/>
    <w:qFormat/>
    <w:rPr>
      <w:b w:val="false"/>
    </w:rPr>
  </w:style>
  <w:style w:type="character" w:styleId="WW8Num23z0">
    <w:name w:val="WW8Num23z0"/>
    <w:qFormat/>
    <w:rPr>
      <w:rFonts w:ascii="Times New Roman" w:hAnsi="Times New Roman" w:cs="Times New Roman"/>
      <w:caps w:val="false"/>
      <w:smallCaps w:val="false"/>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VEDocumentInformation">
    <w:name w:val="VE Document Information"/>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tLeast" w:line="240"/>
      <w:ind w:hanging="0" w:start="360" w:end="0"/>
      <w:jc w:val="center"/>
    </w:pPr>
    <w:rPr>
      <w:rFonts w:ascii="Tms Rmn;Times New Roman" w:hAnsi="Tms Rmn;Times New Roman" w:cs="Tms Rmn;Times New Roman"/>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pPr>
    <w:rPr>
      <w:rFonts w:ascii="Tms Rmn;Times New Roman" w:hAnsi="Tms Rmn;Times New Roman" w:cs="Tms Rmn;Times New Roman"/>
      <w:sz w:val="24"/>
    </w:rPr>
  </w:style>
  <w:style w:type="paragraph" w:styleId="BodyTextIndent2">
    <w:name w:val="Body Text Indent 2"/>
    <w:basedOn w:val="Normal"/>
    <w:qFormat/>
    <w:pPr>
      <w:spacing w:lineRule="atLeast" w:line="240"/>
      <w:ind w:hanging="0" w:start="720" w:end="0"/>
    </w:pPr>
    <w:rPr>
      <w:rFonts w:ascii="Tms Rmn;Times New Roman" w:hAnsi="Tms Rmn;Times New Roman" w:cs="Tms Rmn;Times New Roman"/>
      <w:b/>
      <w:sz w:val="24"/>
      <w:u w:val="single"/>
    </w:rPr>
  </w:style>
  <w:style w:type="paragraph" w:styleId="BodyText2">
    <w:name w:val="Body Text 2"/>
    <w:basedOn w:val="Normal"/>
    <w:qFormat/>
    <w:pPr>
      <w:jc w:val="center"/>
    </w:pPr>
    <w:rPr>
      <w:b/>
      <w:color w:val="FF0000"/>
      <w:sz w:val="24"/>
    </w:rPr>
  </w:style>
  <w:style w:type="paragraph" w:styleId="BodyText3">
    <w:name w:val="Body Text 3"/>
    <w:basedOn w:val="Normal"/>
    <w:qFormat/>
    <w:pPr/>
    <w:rPr>
      <w:b/>
      <w:color w:val="FF0000"/>
    </w:rPr>
  </w:style>
  <w:style w:type="paragraph" w:styleId="BodyTextIndent3">
    <w:name w:val="Body Text Indent 3"/>
    <w:basedOn w:val="Normal"/>
    <w:qFormat/>
    <w:pPr>
      <w:spacing w:lineRule="atLeast" w:line="240"/>
      <w:ind w:hanging="0" w:start="360" w:end="0"/>
      <w:jc w:val="both"/>
    </w:pPr>
    <w:rPr>
      <w:rFonts w:ascii="Tms Rmn;Times New Roman" w:hAnsi="Tms Rmn;Times New Roman" w:cs="Tms Rmn;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2001-01-16T06:00:00Z</dcterms:created>
  <dc:creator>TP600E95</dc:creator>
  <dc:description/>
  <dc:language>en-CA</dc:language>
  <cp:lastModifiedBy>VE</cp:lastModifiedBy>
  <cp:lastPrinted>2001-01-09T13:59:00Z</cp:lastPrinted>
  <dcterms:modified xsi:type="dcterms:W3CDTF">2001-01-16T06:00:00Z</dcterms:modified>
  <cp:revision>2</cp:revision>
  <dc:subject/>
  <dc:title>EOT Terms and Conditions</dc:title>
</cp:coreProperties>
</file>