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October 13,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t>333 Clay Street</w:t>
      </w:r>
    </w:p>
    <w:p>
      <w:pPr>
        <w:pStyle w:val="Normal"/>
        <w:rPr>
          <w:rFonts w:ascii="Arial" w:hAnsi="Arial" w:cs="Arial"/>
          <w:sz w:val="24"/>
        </w:rPr>
      </w:pPr>
      <w:r>
        <w:rPr>
          <w:rFonts w:cs="Arial" w:ascii="Arial" w:hAnsi="Arial"/>
          <w:sz w:val="24"/>
        </w:rPr>
        <w:t>Suite 2100</w:t>
      </w:r>
    </w:p>
    <w:p>
      <w:pPr>
        <w:pStyle w:val="Normal"/>
        <w:rPr>
          <w:rFonts w:ascii="Arial" w:hAnsi="Arial" w:cs="Arial"/>
          <w:sz w:val="24"/>
        </w:rPr>
      </w:pPr>
      <w:r>
        <w:rPr>
          <w:rFonts w:cs="Arial" w:ascii="Arial" w:hAnsi="Arial"/>
          <w:sz w:val="24"/>
        </w:rPr>
        <w:t>Houston, Texas 77002-7361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Gentlemen:</w:t>
      </w:r>
    </w:p>
    <w:p>
      <w:pPr>
        <w:pStyle w:val="Normal"/>
        <w:rPr>
          <w:rFonts w:ascii="Arial" w:hAnsi="Arial" w:cs="Arial"/>
          <w:sz w:val="24"/>
        </w:rPr>
      </w:pPr>
      <w:r>
        <w:rPr>
          <w:rFonts w:cs="Arial" w:ascii="Arial" w:hAnsi="Arial"/>
          <w:sz w:val="24"/>
        </w:rPr>
      </w:r>
    </w:p>
    <w:p>
      <w:pPr>
        <w:pStyle w:val="Normal"/>
        <w:ind w:firstLine="720" w:end="0"/>
        <w:rPr/>
      </w:pPr>
      <w:r>
        <w:rPr>
          <w:rFonts w:cs="Arial" w:ascii="Arial" w:hAnsi="Arial"/>
          <w:sz w:val="24"/>
        </w:rPr>
        <w:t>This letter agreement (the "Letter Agreement") will confirm the mutual commitment between Sonat Energy Services Company ("Sonat Energy") and Enron Americas LNG Company ("Enron Americas") (each a "Party" and collectively, the "Parties") to negotiate in good faith and execute on or before November</w:t>
      </w:r>
      <w:r>
        <w:rPr>
          <w:rFonts w:cs="Arial" w:ascii="Arial" w:hAnsi="Arial"/>
          <w:sz w:val="24"/>
          <w:lang w:val="en-CA"/>
        </w:rPr>
        <w:t xml:space="preserve"> 15, 1999 (unless such date is postponed by mutual agreement of the Parties), a definitive agreement providing for the sale of liquefied natural gas ("LNG") by Enron Americas to, and the purchase of LNG by, Sonat Energy on the terms and conditions described in Exhibit A hereto and such other terms and conditions as may be mutually agreed upon by the Parties (the "Definitive Agreement").</w:t>
      </w:r>
    </w:p>
    <w:p>
      <w:pPr>
        <w:pStyle w:val="Normal"/>
        <w:rPr>
          <w:rFonts w:ascii="Arial" w:hAnsi="Arial" w:cs="Arial"/>
          <w:sz w:val="24"/>
          <w:lang w:val="en-CA"/>
        </w:rPr>
      </w:pPr>
      <w:r>
        <w:rPr>
          <w:rFonts w:cs="Arial" w:ascii="Arial" w:hAnsi="Arial"/>
          <w:sz w:val="24"/>
          <w:lang w:val="en-CA"/>
        </w:rPr>
      </w:r>
    </w:p>
    <w:p>
      <w:pPr>
        <w:pStyle w:val="Normal"/>
        <w:ind w:firstLine="720" w:end="0"/>
        <w:rPr>
          <w:rFonts w:ascii="Arial" w:hAnsi="Arial" w:cs="Arial"/>
          <w:sz w:val="24"/>
          <w:lang w:val="en-CA"/>
        </w:rPr>
      </w:pPr>
      <w:r>
        <w:rPr>
          <w:rFonts w:cs="Arial" w:ascii="Arial" w:hAnsi="Arial"/>
          <w:sz w:val="24"/>
          <w:lang w:val="en-CA"/>
        </w:rPr>
        <w:t>The terms and conditions contained in this Letter Agreement, including Exhibit A ("LNG Sale and Purchase Agreement Term Sheet") and Attachment 1 thereto ("Quality Letter Agreement"), shall be fully binding upon the Parties until superseded by the Definitive Agreement or until otherwise terminated. The Parties shall jointly appoint, no later than November 15, 1999, an expert experienced in the LNG and United States natural gas industries. In the event the Parties are unable to agree on the designation of an expert, the selection of the expert shall be submitted to arbitration pursuant to the terms hereof, in which case each Party shall nominate one expert and the arbitrator shall select the expert from the Parties' nominees based on all relevant facts and circumstances, including such nominee's expertise and ability to remain impartial.  In the event the Parties are unable to agree completely on the terms of a Definitive Agreement as of November 15, 1999, or such later date as the Parties have mutually agreed, the Parties shall refer all unresolved matters to such expert for resolution.</w:t>
      </w:r>
    </w:p>
    <w:p>
      <w:pPr>
        <w:pStyle w:val="Normal"/>
        <w:rPr>
          <w:rFonts w:ascii="Arial" w:hAnsi="Arial" w:cs="Arial"/>
          <w:sz w:val="24"/>
          <w:lang w:val="en-CA"/>
        </w:rPr>
      </w:pPr>
      <w:r>
        <w:rPr>
          <w:rFonts w:cs="Arial" w:ascii="Arial" w:hAnsi="Arial"/>
          <w:sz w:val="24"/>
          <w:lang w:val="en-CA"/>
        </w:rPr>
      </w:r>
    </w:p>
    <w:p>
      <w:pPr>
        <w:pStyle w:val="Normal"/>
        <w:ind w:firstLine="720" w:end="0"/>
        <w:rPr>
          <w:rFonts w:ascii="Arial" w:hAnsi="Arial" w:cs="Arial"/>
          <w:sz w:val="24"/>
          <w:lang w:val="en-CA"/>
        </w:rPr>
      </w:pPr>
      <w:r>
        <w:rPr>
          <w:rFonts w:cs="Arial" w:ascii="Arial" w:hAnsi="Arial"/>
          <w:sz w:val="24"/>
          <w:lang w:val="en-CA"/>
        </w:rPr>
        <w:t>With respect to each unresolved matter (or related matters), each Party shall submit its proposed contractual language no later than one week after such referral.  The expert shall consider the competing submissions and shall render a decision by selecting one of the two proposals on a matter-by-matter basis (without modification thereto).  The expert shall be instructed that his decision must be consistent with the terms and conditions described in Exhibit A hereto and Attachment 1 thereto and that where both Parties' proposals meet this criteria and the criteria below, he shall select the one that is most appropriate in light of all relevant facts and circumstances and is most consistent with the principles and guidelines set forth in this paragraph.  In rendering his decision, the expert shall consider, only to the extent not inconsistent with the terms and provisions of Exhibit A hereto and Attachment 1 thereto (a) the principle that the terms and conditions of the Definitive Agreement must otherwise be consistent with the proposed FERC Gas Tariff of Southern LNG Inc. ("SLNG") and with the LNG sales agreement between Sonat Energy and the suppliers of the DQ (as defined in Exhibit A), (b) the standards commonly utilized in the LNG industry and in the United States natural gas industry, and (c) commercial principles generally applicable to (i) projects that are to be financed using limited recourse project financing in the international market and (ii) service agreements with FERC-regulated facilities.  The expert shall render a decision on all such matters within three (3) weeks of the referral.  Such decision shall be binding on the Parties (and not subject to further arbitration or appeal), and  the Definitive Agreement, including the contractual language selected by the expert, shall be effective and binding on the parties as of the date of the expert’s decision.</w:t>
      </w:r>
    </w:p>
    <w:p>
      <w:pPr>
        <w:pStyle w:val="Normal"/>
        <w:rPr>
          <w:rFonts w:ascii="Arial" w:hAnsi="Arial" w:cs="Arial"/>
          <w:sz w:val="24"/>
          <w:lang w:val="en-CA"/>
        </w:rPr>
      </w:pPr>
      <w:r>
        <w:rPr>
          <w:rFonts w:cs="Arial" w:ascii="Arial" w:hAnsi="Arial"/>
          <w:sz w:val="24"/>
          <w:lang w:val="en-CA"/>
        </w:rPr>
      </w:r>
    </w:p>
    <w:p>
      <w:pPr>
        <w:pStyle w:val="Normal"/>
        <w:rPr/>
      </w:pPr>
      <w:r>
        <w:rPr>
          <w:rFonts w:cs="Arial" w:ascii="Arial" w:hAnsi="Arial"/>
          <w:sz w:val="24"/>
          <w:lang w:val="en-CA"/>
        </w:rPr>
        <w:tab/>
        <w:t xml:space="preserve">Concurrently with the execution of this Letter Agreement, Enron Americas agrees to make the attached filing with the Federal Energy Regulatory Commission ("FERC") set forth in Exhibit B hereto (such filing having been found satisfactory by Sonat Energy and SLNG) (the "Withdrawal Letter"), for purposes of (i) withdrawing Enron Americas’ protest to SLNG’s reactivation applications in Docket Nos. CP 99-579, </w:t>
      </w:r>
      <w:r>
        <w:rPr>
          <w:rFonts w:cs="Arial" w:ascii="Arial" w:hAnsi="Arial"/>
          <w:sz w:val="24"/>
          <w:u w:val="single"/>
          <w:lang w:val="en-CA"/>
        </w:rPr>
        <w:t>et al.</w:t>
      </w:r>
      <w:r>
        <w:rPr>
          <w:rFonts w:cs="Arial" w:ascii="Arial" w:hAnsi="Arial"/>
          <w:sz w:val="24"/>
          <w:lang w:val="en-CA"/>
        </w:rPr>
        <w:t xml:space="preserve"> (the "Applications"); (ii) retracting its opposition to the award therein of 100% of the capacity in the Elba Island Facility to Sonat Energy; and (iii) supporting the Applications as filed (including any request for a preliminary determination) and any other orders or determinations related thereto that had been requested by Sonat Energy or SLNG as of the date of the Enron Americas' filing.  In the event the Withdrawal Letter is not filed by the close of business of the FERC as of the date following the date hereof, Sonat Energy shall have the right to terminate this Letter Agreement (including all exhibits and attachments hereto) and shall have no liabilities or obligations whatsoever hereunder.</w:t>
      </w:r>
    </w:p>
    <w:p>
      <w:pPr>
        <w:pStyle w:val="Normal"/>
        <w:rPr>
          <w:rFonts w:ascii="Arial" w:hAnsi="Arial" w:cs="Arial"/>
          <w:sz w:val="24"/>
          <w:lang w:val="en-CA"/>
        </w:rPr>
      </w:pPr>
      <w:r>
        <w:rPr>
          <w:rFonts w:cs="Arial" w:ascii="Arial" w:hAnsi="Arial"/>
          <w:sz w:val="24"/>
          <w:lang w:val="en-CA"/>
        </w:rPr>
      </w:r>
    </w:p>
    <w:p>
      <w:pPr>
        <w:pStyle w:val="Level1"/>
        <w:widowControl/>
        <w:numPr>
          <w:ilvl w:val="0"/>
          <w:numId w:val="0"/>
        </w:numPr>
        <w:ind w:firstLine="720" w:start="0" w:end="0"/>
        <w:outlineLvl w:val="9"/>
        <w:rPr>
          <w:rFonts w:ascii="Arial" w:hAnsi="Arial" w:cs="Arial"/>
          <w:lang w:eastAsia="en-CA"/>
        </w:rPr>
      </w:pPr>
      <w:r>
        <w:rPr>
          <w:rFonts w:cs="Arial" w:ascii="Arial" w:hAnsi="Arial"/>
          <w:lang w:eastAsia="en-CA"/>
        </w:rPr>
        <w:t>In addition to the withdrawal of its protest respecting the Applications, Enron Americas agrees to and will cause each and every of its affiliates to agree to  waive, release and discharge (and refrain from asserting in any forum and at any time hereafter) any claims now or hereafter arising that are in any way related to the acts or omissions of SLNG prior to the date hereof, the Applications as of the date hereof or the award of the capacity in the Elba Island Facility to Sonat Energy pursuant thereto.  Further, neither Enron Americas nor any affiliate thereof will protest or challenge, or support, induce, or discuss with any third party any protest or challenge, to SLNG’s Applications for a certificate to reactivate the Elba Island Facility (the "Certificate") the award of the capacity of the Elba Island Facility to Sonat Energy or the rates proposed by SLNG once approved by the FERC with respect to the Elba Island Facility during the period of the rate moratorium agreed to by SLNG but not including any amendment to the Applications or any other submission to FERC after the date hereof.</w:t>
      </w:r>
      <w:r>
        <w:br w:type="page"/>
      </w:r>
    </w:p>
    <w:p>
      <w:pPr>
        <w:pStyle w:val="Normal"/>
        <w:rPr>
          <w:rFonts w:ascii="Arial" w:hAnsi="Arial" w:cs="Arial"/>
          <w:sz w:val="24"/>
          <w:lang w:val="en-CA" w:eastAsia="en-CA"/>
        </w:rPr>
      </w:pPr>
      <w:r>
        <w:rPr>
          <w:rFonts w:cs="Arial" w:ascii="Arial" w:hAnsi="Arial"/>
          <w:sz w:val="24"/>
          <w:lang w:val="en-CA" w:eastAsia="en-CA"/>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rFonts w:ascii="Arial" w:hAnsi="Arial" w:cs="Arial"/>
          <w:lang w:val="en-CA" w:eastAsia="en-CA"/>
        </w:rPr>
      </w:pPr>
      <w:r>
        <w:rPr>
          <w:rFonts w:cs="Arial" w:ascii="Arial" w:hAnsi="Arial"/>
          <w:lang w:eastAsia="en-CA"/>
        </w:rPr>
        <w:t>In the event of a subsequent open season with respect to the Elba Island Facility (other than one mandated by FERC) where the capacity is awarded to any affiliate of SLNG, Sonat Energy shall ensure that this Agreement remains in force as between such affiliate and Enron Americas; provided, however that (i) if such affiliate receives less than one hundred percent (100%) of such capacity, the ACQ hereunder shall be proportionately reduced, and (ii) the ACQ shall be further reduced by any amount of capacity awarded in such open season to Enron Americas or any affiliate thereof.</w:t>
      </w:r>
    </w:p>
    <w:p>
      <w:pPr>
        <w:pStyle w:val="Normal"/>
        <w:rPr>
          <w:rFonts w:ascii="Arial" w:hAnsi="Arial" w:cs="Arial"/>
          <w:sz w:val="24"/>
          <w:lang w:val="en-CA" w:eastAsia="en-CA"/>
        </w:rPr>
      </w:pPr>
      <w:r>
        <w:rPr>
          <w:rFonts w:cs="Arial" w:ascii="Arial" w:hAnsi="Arial"/>
          <w:sz w:val="24"/>
          <w:lang w:val="en-CA" w:eastAsia="en-CA"/>
        </w:rPr>
      </w:r>
    </w:p>
    <w:p>
      <w:pPr>
        <w:pStyle w:val="BodyTextIndent3"/>
        <w:ind w:firstLine="720" w:start="0" w:end="0"/>
        <w:rPr/>
      </w:pPr>
      <w:r>
        <w:rPr/>
        <w:t>Enron Americas will and will cause each and every one of its affiliates to waive, effective immediately, any conflict of interest that it or they have alleged or that it or they may have with respect to the representation by Skadden, Arps, Slate, Meagher &amp; Flom LLP of Sonat Energy and SLNG (and its and their affiliates and successors in interest) in any matter related to this transaction, any transactions related to the DQ (as defined in the Agreement) and the Applications, excluding arbitration or judicial proceedings between the Parties (other than those in connection with the establishment of a Definitive Agreement).</w:t>
      </w:r>
      <w:r>
        <w:br w:type="page"/>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lang w:val="en-CA"/>
        </w:rPr>
      </w:pPr>
      <w:r>
        <w:rPr>
          <w:rFonts w:cs="Arial" w:ascii="Arial" w:hAnsi="Arial"/>
          <w:sz w:val="24"/>
          <w:lang w:val="en-CA"/>
        </w:rPr>
        <w:tab/>
        <w:t>Please acknowledge your agreement to the terms set out above by signing and returning to us a duplicate copy of this Letter Agreement.</w:t>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rPr>
      </w:pPr>
      <w:r>
        <w:rPr>
          <w:rFonts w:cs="Arial" w:ascii="Arial" w:hAnsi="Arial"/>
          <w:sz w:val="24"/>
        </w:rPr>
        <w:t>Sincerely,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SONAT ENERGY SERVICES COMPANY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w:t>
      </w:r>
      <w:r>
        <w:rPr>
          <w:rFonts w:cs="Arial" w:ascii="Arial" w:hAnsi="Arial"/>
          <w:sz w:val="24"/>
          <w:u w:val="single"/>
        </w:rPr>
        <w:t xml:space="preserve"> </w:t>
        <w:tab/>
        <w:t>/s/ Michael G. Byrne</w:t>
        <w:tab/>
        <w:tab/>
      </w:r>
    </w:p>
    <w:p>
      <w:pPr>
        <w:pStyle w:val="Heading2"/>
        <w:rPr/>
      </w:pPr>
      <w:r>
        <w:rPr/>
        <w:tab/>
        <w:t>Michael G. Byrne</w:t>
      </w:r>
    </w:p>
    <w:p>
      <w:pPr>
        <w:pStyle w:val="Normal"/>
        <w:rPr>
          <w:rFonts w:ascii="Arial" w:hAnsi="Arial" w:cs="Arial"/>
          <w:sz w:val="24"/>
        </w:rPr>
      </w:pPr>
      <w:r>
        <w:rPr>
          <w:rFonts w:cs="Arial" w:ascii="Arial" w:hAnsi="Arial"/>
          <w:sz w:val="24"/>
        </w:rPr>
        <w:tab/>
        <w:t xml:space="preserve">Vice President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Accepted and Agreed to this _____ day of October,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r>
    </w:p>
    <w:p>
      <w:pPr>
        <w:pStyle w:val="Heading2"/>
        <w:rPr/>
      </w:pPr>
      <w:r>
        <w:rPr/>
        <w:t>By:</w:t>
      </w:r>
      <w:r>
        <w:rPr>
          <w:u w:val="single"/>
        </w:rPr>
        <w:tab/>
        <w:t>/s/ Douglas Rotenberg</w:t>
        <w:tab/>
        <w:tab/>
      </w:r>
    </w:p>
    <w:p>
      <w:pPr>
        <w:pStyle w:val="Normal"/>
        <w:rPr>
          <w:rFonts w:ascii="Arial" w:hAnsi="Arial" w:cs="Arial"/>
          <w:sz w:val="24"/>
        </w:rPr>
      </w:pPr>
      <w:r>
        <w:rPr>
          <w:rFonts w:cs="Arial" w:ascii="Arial" w:hAnsi="Arial"/>
          <w:sz w:val="24"/>
        </w:rPr>
        <w:tab/>
        <w:t>Douglas Rotenberg</w:t>
      </w:r>
    </w:p>
    <w:p>
      <w:pPr>
        <w:pStyle w:val="Normal"/>
        <w:rPr>
          <w:rFonts w:ascii="Arial" w:hAnsi="Arial" w:cs="Arial"/>
          <w:sz w:val="24"/>
        </w:rPr>
      </w:pPr>
      <w:r>
        <w:rPr>
          <w:rFonts w:cs="Arial" w:ascii="Arial" w:hAnsi="Arial"/>
          <w:sz w:val="24"/>
        </w:rPr>
        <w:tab/>
        <w:t>Vice President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Arial" w:hAnsi="Arial" w:cs="Arial"/>
          <w:sz w:val="24"/>
        </w:rPr>
      </w:pPr>
      <w:r>
        <w:rPr>
          <w:rFonts w:cs="Arial" w:ascii="Arial" w:hAnsi="Arial"/>
          <w:sz w:val="24"/>
        </w:rPr>
      </w:r>
    </w:p>
    <w:p>
      <w:pPr>
        <w:pStyle w:val="Header"/>
        <w:tabs>
          <w:tab w:val="clear" w:pos="4320"/>
          <w:tab w:val="clear" w:pos="8640"/>
        </w:tabs>
        <w:jc w:val="center"/>
        <w:rPr>
          <w:rFonts w:ascii="Arial" w:hAnsi="Arial" w:cs="Arial"/>
          <w:b/>
          <w:sz w:val="24"/>
        </w:rPr>
      </w:pPr>
      <w:r>
        <w:rPr>
          <w:rFonts w:cs="Arial" w:ascii="Arial" w:hAnsi="Arial"/>
          <w:b/>
          <w:sz w:val="24"/>
        </w:rPr>
        <w:t>EXHIBIT A</w:t>
      </w:r>
    </w:p>
    <w:p>
      <w:pPr>
        <w:pStyle w:val="Header"/>
        <w:tabs>
          <w:tab w:val="clear" w:pos="4320"/>
          <w:tab w:val="clear" w:pos="8640"/>
        </w:tabs>
        <w:rPr>
          <w:rFonts w:ascii="Arial" w:hAnsi="Arial" w:cs="Arial"/>
          <w:b/>
          <w:sz w:val="24"/>
        </w:rPr>
      </w:pPr>
      <w:r>
        <w:rPr>
          <w:rFonts w:cs="Arial" w:ascii="Arial" w:hAnsi="Arial"/>
          <w:b/>
          <w:sz w:val="24"/>
        </w:rPr>
      </w:r>
    </w:p>
    <w:p>
      <w:pPr>
        <w:pStyle w:val="Heading"/>
        <w:rPr>
          <w:sz w:val="24"/>
        </w:rPr>
      </w:pPr>
      <w:r>
        <w:rPr>
          <w:sz w:val="24"/>
        </w:rPr>
        <w:t>LNG Sale and Purchase Agreement</w:t>
      </w:r>
    </w:p>
    <w:p>
      <w:pPr>
        <w:pStyle w:val="Normal"/>
        <w:jc w:val="center"/>
        <w:rPr>
          <w:rFonts w:ascii="Arial" w:hAnsi="Arial" w:cs="Arial"/>
          <w:b/>
          <w:sz w:val="24"/>
        </w:rPr>
      </w:pPr>
      <w:r>
        <w:rPr>
          <w:rFonts w:cs="Arial" w:ascii="Arial" w:hAnsi="Arial"/>
          <w:b/>
          <w:sz w:val="24"/>
        </w:rPr>
        <w:t>Term Sheet</w:t>
      </w:r>
    </w:p>
    <w:p>
      <w:pPr>
        <w:pStyle w:val="Normal"/>
        <w:jc w:val="center"/>
        <w:rPr>
          <w:rFonts w:ascii="Arial" w:hAnsi="Arial" w:cs="Arial"/>
          <w:b/>
          <w:sz w:val="24"/>
        </w:rPr>
      </w:pPr>
      <w:r>
        <w:rPr>
          <w:rFonts w:cs="Arial" w:ascii="Arial" w:hAnsi="Arial"/>
          <w:b/>
          <w:sz w:val="24"/>
        </w:rPr>
      </w:r>
    </w:p>
    <w:p>
      <w:pPr>
        <w:pStyle w:val="Heading1"/>
        <w:rPr>
          <w:sz w:val="24"/>
        </w:rPr>
      </w:pPr>
      <w:r>
        <w:rPr>
          <w:sz w:val="24"/>
        </w:rPr>
        <w:t>October 13,  1999</w:t>
      </w:r>
    </w:p>
    <w:p>
      <w:pPr>
        <w:pStyle w:val="Normal"/>
        <w:jc w:val="both"/>
        <w:rPr>
          <w:rFonts w:ascii="Arial" w:hAnsi="Arial" w:cs="Arial"/>
          <w:b/>
          <w:sz w:val="24"/>
        </w:rPr>
      </w:pPr>
      <w:r>
        <w:rPr>
          <w:rFonts w:cs="Arial" w:ascii="Arial" w:hAnsi="Arial"/>
          <w:b/>
          <w:sz w:val="24"/>
        </w:rPr>
      </w:r>
    </w:p>
    <w:p>
      <w:pPr>
        <w:pStyle w:val="Heading2"/>
        <w:ind w:hanging="2160" w:start="2160" w:end="0"/>
        <w:jc w:val="both"/>
        <w:rPr>
          <w:rFonts w:ascii="Arial" w:hAnsi="Arial" w:cs="Arial"/>
          <w:b/>
          <w:sz w:val="24"/>
        </w:rPr>
      </w:pPr>
      <w:r>
        <w:rPr>
          <w:rFonts w:cs="Arial"/>
          <w:b/>
          <w:sz w:val="24"/>
        </w:rPr>
      </w:r>
    </w:p>
    <w:p>
      <w:pPr>
        <w:pStyle w:val="Heading2"/>
        <w:ind w:hanging="2160" w:start="2160" w:end="0"/>
        <w:jc w:val="both"/>
        <w:rPr/>
      </w:pPr>
      <w:r>
        <w:rPr/>
        <w:t>Enron Americas:</w:t>
        <w:tab/>
        <w:t>Enron Americas LNG Company or any successor in interest thereto ("Enron Americas").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Sonat Energy:</w:t>
        <w:tab/>
        <w:t>Sonat Energy Services Company or any successor in interest thereto ("Sonat Energy").</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Agreement:</w:t>
        <w:tab/>
        <w:t>This Term Sheet until it is replaced by a Definitive Agreement, and thereafter the Definitive Agreement.</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pPr>
      <w:r>
        <w:rPr>
          <w:rFonts w:cs="Arial" w:ascii="Arial" w:hAnsi="Arial"/>
          <w:sz w:val="24"/>
        </w:rPr>
        <w:t>Term:</w:t>
        <w:tab/>
        <w:t>Seventeen (17) years from the Start Date with Enron Americas' option on at least three (3) years notice for up to an additional five (5) years; provided, however, that the term shall not extend beyond the twenty-second (22</w:t>
      </w:r>
      <w:r>
        <w:rPr>
          <w:rFonts w:cs="Arial" w:ascii="Arial" w:hAnsi="Arial"/>
          <w:sz w:val="24"/>
          <w:vertAlign w:val="superscript"/>
        </w:rPr>
        <w:t>nd</w:t>
      </w:r>
      <w:r>
        <w:rPr>
          <w:rFonts w:cs="Arial" w:ascii="Arial" w:hAnsi="Arial"/>
          <w:sz w:val="24"/>
        </w:rPr>
        <w:t>) anniversary of the In-Service Date (as defined in SLNG's FERC Gas Tariff); provided further, however, that Enron Americas, on or before the Exit Date, shall have the right, without penalty or any liability whatsoever, to terminate this Agreement (the "Exit Right").</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Dedicated</w:t>
      </w:r>
    </w:p>
    <w:p>
      <w:pPr>
        <w:pStyle w:val="Normal"/>
        <w:ind w:hanging="2160" w:start="2160" w:end="0"/>
        <w:jc w:val="both"/>
        <w:rPr>
          <w:rFonts w:ascii="Arial" w:hAnsi="Arial" w:cs="Arial"/>
          <w:sz w:val="24"/>
        </w:rPr>
      </w:pPr>
      <w:r>
        <w:rPr>
          <w:rFonts w:cs="Arial" w:ascii="Arial" w:hAnsi="Arial"/>
          <w:sz w:val="24"/>
        </w:rPr>
        <w:t>Quantity:</w:t>
        <w:tab/>
        <w:t>Sonat Energy’s Dedicated Quantity ("DQ") shall mean, in any Contract Year, the quantity of LNG that Sonat Energy is obligated to purchase during such Contract Year for delivery to the Elba Island Facility from British Gas Trinidad and Tobago Ltd. and its co-venturers in the train 2 and train 3 expansion projects for Atlantic LNG Company of Trinidad and Tobago and each of their respective affiliates, successors in interest and assignees.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Acceptance;</w:t>
      </w:r>
    </w:p>
    <w:p>
      <w:pPr>
        <w:pStyle w:val="Normal"/>
        <w:ind w:hanging="2160" w:start="2160" w:end="0"/>
        <w:jc w:val="both"/>
        <w:rPr>
          <w:rFonts w:ascii="Arial" w:hAnsi="Arial" w:cs="Arial"/>
          <w:sz w:val="24"/>
        </w:rPr>
      </w:pPr>
      <w:r>
        <w:rPr>
          <w:rFonts w:cs="Arial" w:ascii="Arial" w:hAnsi="Arial"/>
          <w:sz w:val="24"/>
        </w:rPr>
        <w:t>Exit Date:</w:t>
        <w:tab/>
        <w:t>Following execution of the Letter Agreement, and not later than the date that SLNG accepts the Certificate (the "Acceptance Date"), Sonat Energy shall use commercially reasonable efforts to secure and, as applicable, cause SLNG to secure, all ancillary agreements and other undertakings reasonably required to ensure that the reactivation of the Elba Island Facility can be achieved in a timely manner so as to allow Sonat Energy to commence taking LNG from Enron Americas no later than the Obligation Date.  At least ten (10) days prior to the last day that SLNG is entitled to accept, in accordance with 18 C.F.R. §157.20(a), the Certificate (the "Acceptance Deadline Date") but no earlier than twenty (20) days after the FERC's issuance of the Certificate, Sonat Energy shall notify Enron Americas (the "Certificate Notification") of (i) SLNG’s determination to accept or not to accept the Certificate, and (ii) the extent to which the ancillary agreements and other undertakings identified above have been obtained.  In case SLNG accepts the Certificate it shall include in the Certificate Notification the date upon which SLNG plans to accept the Certificate (the "Planned Acceptance Date"). In the case where SLNG has determined to reject the Certificate SLNG shall require the DQ suppliers either to exercise or to waive any rights they may have to acquire SLNG (the “DQ Acquisition Rights”) prior to the issuance of the Certificate Notification, and shall include the status of the DQ Acquisition Rights therein.</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b/>
        <w:t>Sonat Energy shall arrange to obtain from SLNG and shall disclose to Enron Americas, at the time Sonat Energy gives Enron Americas notice of SLNG's determination to accept the Certificate, all information regarding (i) the status of any pending requests for rehearing or appeals of the FERC's order(s) issuing the Certificate of which Sonat Energy or SLNG has knowledge, and (ii) SLNG's litigation strategy for responding to all such requests for rehearing and appeals.  Enron Americas shall have the right to consult with Sonat Energy and SLNG regarding such litigation strategy.</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b/>
        <w:t>Upon Enron Americas' receipt of the Certificate Notification, Enron Americas shall have five (5) days (the expiration of which shall, subject to extension as set forth below, be the “Exit Date”) to provide Sonat Energy with notification (the "Enron Americas Notification") as to (i) whether or not Enron Americas will terminate this Agreement as provided under "Term," above (which termination shall be effective on the Acceptance Date), (ii) whether or not Enron Americas will exercise its Step-in Rights if notified that SLNG has determined to reject the Certificate and the DQ suppliers have not exercised their DQ Acquisition Rights, and (iii) whether or not Enron Americas will exercise its Extension Option, as set forth below.  If Enron Americas has not terminated this Agreement on or before the Exit Date and a petition for rehearing with respect to the Certificate is filed (other than a petition filed or caused to be filed by Enron Americas or any of its affiliates) after Enron Americas has sent the original Enron Americas Notification, Enron Americas shall have the right, to be exercised within two (2) business days after the expiration of the period in which such petitions for rehearing may be filed, to modify its Enron Americas Notification (i) to terminate this Agreement or (ii) to exercise its Extension Option.  If the Planned Acceptance Date is prior to the Acceptance Deadline Date, Enron Americas has the right (the "Extension Option") to extend the Exit Date by so notifying Sonat Energy and paying to Sonat Energy $5 million in immediately available funds (the "Extension Payment") on the date that Enron Americas gives notice that it is exercising the Extension Option.  Upon Sonat Energy's receipt of the Extension Payment, the Exit Date shall be extended until the earlier of (i) the Acceptance Deadline Date, (ii) the second anniversary of the Acceptance Date, or (iii) the Reactivation Date.  If Enron Americas exercises its Extension Option and later terminates this Agreement prior to the new Exit Date, Enron Americas shall pay to Sonat Energy in immediately available funds an amount equal to $1 million for each calendar month (or pro rata for any part thereof) between the date upon which the Extension Option was exercised and the date upon which the Agreement is terminated. Notwithstanding anything herein to the contrary, Enron Americas shall not be entitled to exercise its Extension Option if Enron Americas or any of its affiliates has made any filing with the FERC after the date hereof that has the result of delaying the Acceptance Deadline Date.</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b/>
        <w:t xml:space="preserve">If, within ten (10) days of Sonat Energy's notice to Enron Americas of SLNG’s determination to accept the Certificate, SLNG does not so accept, such obligations and rights of the Parties with regard to the Exit Date shall be extended, provided that the Acceptance Deadline Date has not occurred (even in the event that Enron Americas has notified Sonat Energy that it will terminate, in which case the termination shall be void and a new Exit Date shall take effect as applicable), until five (5) days after Sonat Energy re-issues a Certificate Notification.  In such event, Sonat Energy shall thereafter be required to re-issue the Certificate Notification as provided in the first paragraph of this section "Acceptance; Exit Date." </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b/>
        <w:t>At the time SLNG accepts the Certificate, Sonat Energy shall notify Enron Americas of the Acceptance Date and furnish Enron Americas a copy of such notice of acceptance.</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SLNG shall not accept the Certificate before the Acceptance Deadline Date if both Enron Americas and the DQ suppliers request in writing that SLNG defer acceptance of the Certificate until that date.</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Step-in Rights:</w:t>
        <w:tab/>
        <w:t>If the DQ suppliers exercise their DQ Acquisition Rights, the Agreement will remain in full force and effect during the Term of this Agreement.</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after the Certificate is issued, Sonat Energy advises Enron Americas that SLNG has determined not to accept the Certificate and that the DQ suppliers have elected not to exercise their DQ Acquisition Rights, then Sonat Energy shall cause Southern Natural Gas Company ("SNG") to offer to sell to Enron Americas (the "Step-in Rights") for a period of five (5) days (the "Step-in Period), all (but not less than all) of the issued and outstanding shares of common stock of SLNG (the "SLNG Shares") for an amount equal to the greater of (i) the fair market value of the Elba Island Facility (considering its use only as a FERC-regulated asset and the terms and conditions of these Step-in Rights, including the repurchase obligation) or (ii) $58 million (in either case (i)  or (ii)) (the "Step-in Purchase Price").  In order to permit Enron Americas to evaluate the Step-in Rights, at the time the Certificate is issued, Sonat Energy shall cause SLNG to grant Enron Americas access to all relevant books and records and contractual obligations of SLNG commonly available for due diligence review in connection with acquisitions in the energy industry, but not otherwise publicly available.  If Enron Americas exercises its Step-in Rights:</w:t>
      </w:r>
    </w:p>
    <w:p>
      <w:pPr>
        <w:pStyle w:val="Normal"/>
        <w:ind w:start="2160" w:end="0"/>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Enron Americas shall (i) provide written notice of such exercise to SNG within the Step-in Period (ii) within five (5) days after sending such written notice, either pay to SNG the Step-in Purchase Price in immediately available funds or deliver to SNG a guarantee by Enron Americas' ultimate parent (in form and substance satisfactory to SNG in its sole discretion) of Enron Americas' obligation to pay to SNG, within thirty (30) days, the Step-in Purchase Price in immediately available funds, and (iii) be deemed to have waived any remaining Exit Rights it has under this Agreement;</w:t>
      </w:r>
    </w:p>
    <w:p>
      <w:pPr>
        <w:pStyle w:val="Normal"/>
        <w:ind w:start="2160" w:end="0"/>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SNG shall, upon receipt of the Step-in Purchase Price, (i) cause SLNG to accept the Certificate and (ii) after receiving all required government approvals, transfer the SLNG shares to Enron Americas;</w:t>
      </w:r>
    </w:p>
    <w:p>
      <w:pPr>
        <w:pStyle w:val="Normal"/>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The Service Agreement between SLNG and Sonat Energy shall remain in full force and effect;</w:t>
      </w:r>
    </w:p>
    <w:p>
      <w:pPr>
        <w:pStyle w:val="Normal"/>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Any obligation of Sonat Energy in this Agreement to cause or to attempt to cause SLNG to take or refrain from taking any action shall be excused and, after such step-in, Sonat Energy shall have no liability hereunder to Enron Americas for any acts or omissions of SLNG; and</w:t>
      </w:r>
    </w:p>
    <w:p>
      <w:pPr>
        <w:pStyle w:val="Normal"/>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If Sonat Energy's agreement with the DQ suppliers terminates in connection with the decision of the DQ suppliers not to exercise their DQ Acquisition Rights, (i) Enron Americas shall be obligated to pay Sonat Energy one hundred percent (100%) of the actual total costs (including all fixed and variable charges) thereafter incurred by Sonat Energy under the Service Agreement with SLNG, (ii) this Agreement shall remain in effect with respect to the ACQ, and (iii) Enron Americas and Sonat Energy will enter into a separate definitive agreement regarding the delivery of up to an additional 82 Bcf of LNG annually by Enron Americas to the Elba Island Facility under the following price structure:</w:t>
      </w:r>
    </w:p>
    <w:p>
      <w:pPr>
        <w:pStyle w:val="Normal"/>
        <w:jc w:val="both"/>
        <w:rPr>
          <w:rFonts w:ascii="Arial" w:hAnsi="Arial" w:cs="Arial"/>
          <w:sz w:val="24"/>
        </w:rPr>
      </w:pPr>
      <w:r>
        <w:rPr>
          <w:rFonts w:cs="Arial" w:ascii="Arial" w:hAnsi="Arial"/>
          <w:sz w:val="24"/>
        </w:rPr>
      </w:r>
    </w:p>
    <w:p>
      <w:pPr>
        <w:pStyle w:val="Normal"/>
        <w:numPr>
          <w:ilvl w:val="0"/>
          <w:numId w:val="13"/>
        </w:numPr>
        <w:jc w:val="both"/>
        <w:rPr>
          <w:rFonts w:ascii="Arial" w:hAnsi="Arial" w:cs="Arial"/>
          <w:sz w:val="24"/>
        </w:rPr>
      </w:pPr>
      <w:r>
        <w:rPr>
          <w:rFonts w:cs="Arial" w:ascii="Arial" w:hAnsi="Arial"/>
          <w:sz w:val="24"/>
        </w:rPr>
        <w:t>For all LNG confirmed for firm delivery for a period of at least one year on at least ninety (90) days notice prior to the first delivery of such LNG, ("Firm Annual Quantities"), Sonat Energy shall pay to Enron Americas the Monthly Henry Hub Index (as defined in "Price") per MMBtu plus the Sharing Premium, as set forth below.  To the extent Sonat Energy is able to sell regasified  Firm Annual Quantities into the market and receive net positive revenue above such Monthly  Henry Hub Index (after deducting Sonat Energy's transportation costs), such net positive revenue shall be divided between Sonat Energy and Enron Americas on terms no less favorable than those available to the DQ suppliers in connection with similar delivery commitments under the LNG sales agreement between Sonat Energy and the DQ suppliers;</w:t>
      </w:r>
    </w:p>
    <w:p>
      <w:pPr>
        <w:pStyle w:val="Normal"/>
        <w:ind w:start="2880" w:end="0"/>
        <w:jc w:val="both"/>
        <w:rPr>
          <w:rFonts w:ascii="Arial" w:hAnsi="Arial" w:cs="Arial"/>
          <w:sz w:val="24"/>
        </w:rPr>
      </w:pPr>
      <w:r>
        <w:rPr>
          <w:rFonts w:cs="Arial" w:ascii="Arial" w:hAnsi="Arial"/>
          <w:sz w:val="24"/>
        </w:rPr>
      </w:r>
    </w:p>
    <w:p>
      <w:pPr>
        <w:pStyle w:val="Normal"/>
        <w:numPr>
          <w:ilvl w:val="0"/>
          <w:numId w:val="13"/>
        </w:numPr>
        <w:jc w:val="both"/>
        <w:rPr>
          <w:rFonts w:ascii="Arial" w:hAnsi="Arial" w:cs="Arial"/>
          <w:sz w:val="24"/>
        </w:rPr>
      </w:pPr>
      <w:r>
        <w:rPr>
          <w:rFonts w:cs="Arial" w:ascii="Arial" w:hAnsi="Arial"/>
          <w:sz w:val="24"/>
        </w:rPr>
        <w:t>For all LNG confirmed for firm delivery less than ninety (90) days prior to the Contract Year, but more than thirty (30) days prior to the month in which such quantity will be delivered to Sonat Energy, Sonat Energy shall pay the First of the Month Inside FERC's Gas Market Report for Prices of Spot Gas Delivered to Pipelines, SNG Louisiana Index, during such month; and</w:t>
      </w:r>
    </w:p>
    <w:p>
      <w:pPr>
        <w:pStyle w:val="Normal"/>
        <w:jc w:val="both"/>
        <w:rPr>
          <w:rFonts w:ascii="Arial" w:hAnsi="Arial" w:cs="Arial"/>
          <w:sz w:val="24"/>
        </w:rPr>
      </w:pPr>
      <w:r>
        <w:rPr>
          <w:rFonts w:cs="Arial" w:ascii="Arial" w:hAnsi="Arial"/>
          <w:sz w:val="24"/>
        </w:rPr>
      </w:r>
    </w:p>
    <w:p>
      <w:pPr>
        <w:pStyle w:val="Normal"/>
        <w:numPr>
          <w:ilvl w:val="0"/>
          <w:numId w:val="13"/>
        </w:numPr>
        <w:jc w:val="both"/>
        <w:rPr>
          <w:rFonts w:ascii="Arial" w:hAnsi="Arial" w:cs="Arial"/>
          <w:sz w:val="24"/>
        </w:rPr>
      </w:pPr>
      <w:r>
        <w:rPr>
          <w:rFonts w:cs="Arial" w:ascii="Arial" w:hAnsi="Arial"/>
          <w:sz w:val="24"/>
        </w:rPr>
        <w:t>For all LNG on which Enron Americas exercises a Redelivery Option (pursuant to the same terms and conditions set forth herein with respect to the Redelivery Options in "Sale and Purchase"), Sonat Energy shall pay the Monthly Henry Hub Index.</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In connection with the execution of the Definitive Agreement, the Parties shall consider additional terms and provisions intended to protect Enron Americas' interests should the governmental approvals necessary to transfer the SLNG shares not be obtained; provided, however, that such additional terms and provisions shall not result in Sonat Energy or SNG undertaking any additional material obligations or incurring any incremental risk from the structure set forth herein.</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In the event Enron Americas exercises its Step-in Rights, SNG shall have the right to repurchase from Enron Americas, upon termination or expiration of the Agreement for any reason, the SLNG Shares (the "Repurchase Rights") for a purchase price in cash equal to the depreciated book value of the Elba Island Facility (as reflected on SLNG's books of account as reported to FERC) as of the date SNG exercises such Repurchase Right.</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Contemporaneously with the execution of the Definitive Agreement, Enron Americas and SNG shall enter into a separate agreement related to the Step-in Rights and Repurchase Rights set forth herein, which agreement shall fix the Step-In Purchase Price (or provide a mechanism for fixing it prior to the expected date of the Certificate Notification) and contain affirmative and negative covenants related to Enron Americas' ownership of and conduct of the business of SLNG during the pendency of the Repurchase Rights.</w:t>
      </w:r>
    </w:p>
    <w:p>
      <w:pPr>
        <w:pStyle w:val="Normal"/>
        <w:ind w:hanging="2160" w:start="2160" w:end="0"/>
        <w:jc w:val="both"/>
        <w:rPr>
          <w:rFonts w:ascii="Arial" w:hAnsi="Arial" w:cs="Arial"/>
          <w:sz w:val="24"/>
        </w:rPr>
      </w:pPr>
      <w:r>
        <w:rPr>
          <w:rFonts w:cs="Arial" w:ascii="Arial" w:hAnsi="Arial"/>
          <w:sz w:val="24"/>
        </w:rPr>
      </w:r>
    </w:p>
    <w:p>
      <w:pPr>
        <w:pStyle w:val="BodyText2"/>
        <w:keepNext w:val="true"/>
        <w:keepLines/>
        <w:ind w:hanging="2160" w:start="2160" w:end="0"/>
        <w:rPr>
          <w:rFonts w:ascii="Arial" w:hAnsi="Arial" w:cs="Arial"/>
          <w:lang w:val="en-US"/>
        </w:rPr>
      </w:pPr>
      <w:r>
        <w:rPr>
          <w:rFonts w:cs="Arial" w:ascii="Arial" w:hAnsi="Arial"/>
          <w:lang w:val="en-US"/>
        </w:rPr>
        <w:t xml:space="preserve">Annual </w:t>
      </w:r>
    </w:p>
    <w:p>
      <w:pPr>
        <w:pStyle w:val="BodyText2"/>
        <w:keepNext w:val="true"/>
        <w:keepLines/>
        <w:ind w:hanging="2160" w:start="2160" w:end="0"/>
        <w:rPr>
          <w:rFonts w:ascii="Arial" w:hAnsi="Arial" w:cs="Arial"/>
          <w:lang w:val="en-US"/>
        </w:rPr>
      </w:pPr>
      <w:r>
        <w:rPr>
          <w:rFonts w:cs="Arial" w:ascii="Arial" w:hAnsi="Arial"/>
          <w:lang w:val="en-US"/>
        </w:rPr>
        <w:t>Contract Quantity:</w:t>
        <w:tab/>
        <w:t>Annual Contract Quantity ("ACQ") shall mean, in any Contract Year, a quantity of LNG equal to fifty-eight (58) Bcf (or the pro rata portion thereof in any Contract Year less than 365 days) as may be adjusted as provided herein.  Enron Americas shall be entitled to supply such LNG in accordance with this Agreement from any LNG production facility throughout the world.</w:t>
      </w:r>
    </w:p>
    <w:p>
      <w:pPr>
        <w:pStyle w:val="BodyText2"/>
        <w:rPr>
          <w:rFonts w:ascii="Arial" w:hAnsi="Arial" w:cs="Arial"/>
          <w:lang w:val="en-US"/>
        </w:rPr>
      </w:pPr>
      <w:r>
        <w:rPr>
          <w:rFonts w:cs="Arial" w:ascii="Arial" w:hAnsi="Arial"/>
          <w:lang w:val="en-US"/>
        </w:rPr>
      </w:r>
    </w:p>
    <w:p>
      <w:pPr>
        <w:pStyle w:val="BodyText2"/>
        <w:ind w:start="2160" w:end="0"/>
        <w:rPr>
          <w:rFonts w:ascii="Arial" w:hAnsi="Arial" w:cs="Arial"/>
          <w:lang w:val="en-US"/>
        </w:rPr>
      </w:pPr>
      <w:r>
        <w:rPr>
          <w:rFonts w:cs="Arial" w:ascii="Arial" w:hAnsi="Arial"/>
        </w:rPr>
        <w:t>"Contract Year" shall mean each of the following periods:  the period beginning on the Obligation Date and ending on the immediately following December 31, and each full calendar year thereafter prior to the end of the Term, and the period from January 1 of the year the Term ends until the end of the Term.</w:t>
      </w:r>
    </w:p>
    <w:p>
      <w:pPr>
        <w:pStyle w:val="BodyText2"/>
        <w:ind w:hanging="2160" w:start="2160" w:end="0"/>
        <w:rPr>
          <w:rFonts w:ascii="Arial" w:hAnsi="Arial" w:cs="Arial"/>
          <w:color w:val="000000"/>
          <w:lang w:val="en-US"/>
        </w:rPr>
      </w:pPr>
      <w:r>
        <w:rPr>
          <w:rFonts w:cs="Arial" w:ascii="Arial" w:hAnsi="Arial"/>
          <w:color w:val="000000"/>
          <w:lang w:val="en-US"/>
        </w:rPr>
      </w:r>
    </w:p>
    <w:p>
      <w:pPr>
        <w:pStyle w:val="BodyText2"/>
        <w:ind w:hanging="2160" w:start="2160" w:end="0"/>
        <w:rPr>
          <w:rFonts w:ascii="Arial" w:hAnsi="Arial" w:cs="Arial"/>
          <w:color w:val="000000"/>
        </w:rPr>
      </w:pPr>
      <w:r>
        <w:rPr>
          <w:rFonts w:cs="Arial" w:ascii="Arial" w:hAnsi="Arial"/>
          <w:color w:val="000000"/>
        </w:rPr>
        <w:t>Reactivation of</w:t>
      </w:r>
    </w:p>
    <w:p>
      <w:pPr>
        <w:pStyle w:val="BodyText2"/>
        <w:ind w:hanging="2160" w:start="2160" w:end="0"/>
        <w:rPr>
          <w:rFonts w:ascii="Arial" w:hAnsi="Arial" w:cs="Arial"/>
          <w:lang w:val="en-US"/>
        </w:rPr>
      </w:pPr>
      <w:r>
        <w:rPr>
          <w:rFonts w:cs="Arial" w:ascii="Arial" w:hAnsi="Arial"/>
          <w:lang w:val="en-US"/>
        </w:rPr>
        <w:t>Elba Island:</w:t>
        <w:tab/>
        <w:t>Enron Americas shall have the right, if agreed to by the DQ suppliers, to request that Sonat Energy use reasonable efforts to cause SLNG to delay, by a period of not less than six (6) months, the reactivation of the Elba Island Facility, provided that (i) such delay is allowed by and consistent with the Certificate and (ii) Enron Americas pays forty-one percent (41%) of any costs incurred by Sonat Energy in connection with such delay (or such greater portion of such costs as required to obtain the consent of the DQ suppliers).</w:t>
      </w:r>
    </w:p>
    <w:p>
      <w:pPr>
        <w:pStyle w:val="Normal"/>
        <w:ind w:hanging="2160" w:start="2160" w:end="0"/>
        <w:jc w:val="both"/>
        <w:rPr>
          <w:rFonts w:ascii="Arial" w:hAnsi="Arial" w:cs="Arial"/>
          <w:sz w:val="24"/>
          <w:lang w:val="en-US"/>
        </w:rPr>
      </w:pPr>
      <w:r>
        <w:rPr>
          <w:rFonts w:cs="Arial" w:ascii="Arial" w:hAnsi="Arial"/>
          <w:sz w:val="24"/>
          <w:lang w:val="en-US"/>
        </w:rPr>
      </w:r>
    </w:p>
    <w:p>
      <w:pPr>
        <w:pStyle w:val="Normal"/>
        <w:ind w:hanging="2160" w:start="2160" w:end="0"/>
        <w:jc w:val="both"/>
        <w:rPr>
          <w:rFonts w:ascii="Arial" w:hAnsi="Arial" w:cs="Arial"/>
          <w:sz w:val="24"/>
        </w:rPr>
      </w:pPr>
      <w:r>
        <w:rPr>
          <w:rFonts w:cs="Arial" w:ascii="Arial" w:hAnsi="Arial"/>
          <w:sz w:val="24"/>
        </w:rPr>
        <w:t>Purchase</w:t>
      </w:r>
    </w:p>
    <w:p>
      <w:pPr>
        <w:pStyle w:val="Normal"/>
        <w:ind w:hanging="2160" w:start="2160" w:end="0"/>
        <w:jc w:val="both"/>
        <w:rPr>
          <w:rFonts w:ascii="Arial" w:hAnsi="Arial" w:cs="Arial"/>
          <w:sz w:val="24"/>
        </w:rPr>
      </w:pPr>
      <w:r>
        <w:rPr>
          <w:rFonts w:cs="Arial" w:ascii="Arial" w:hAnsi="Arial"/>
          <w:sz w:val="24"/>
        </w:rPr>
        <w:t>And Sale:</w:t>
        <w:tab/>
        <w:t>Beginning on the earlier of (x) the date that Sonat Energy notifies Enron Americas that the reactivation of the Elba Island Facility has been completed (the "Reactivation Date") or (y) eighteen (18) months (plus the period of delay, if any, agreed for the Reactivation Date) following the Acceptance Date (in either case (x) or (y), the "Obligation Date"), unless otherwise excused under this Agreement, Enron Americas is obligated to deliver, and Sonat Energy is obligated to take and pay for or pay for if not taken (up to a total annual quantity equal to the ACQ) each cargo of LNG that is (i) scheduled to be delivered by Enron Americas pursuant to the Annual Program, and (ii) confirmed for firm delivery by written notice from Enron Americas to Sonat Energy no later than eight (8) days prior to the commencement of the two-day arrival window for such cargo, as set forth in the following paragraph.</w:t>
      </w:r>
    </w:p>
    <w:p>
      <w:pPr>
        <w:pStyle w:val="BodyText2"/>
        <w:ind w:start="2160" w:end="0"/>
        <w:rPr>
          <w:rFonts w:ascii="Arial" w:hAnsi="Arial" w:cs="Arial"/>
          <w:sz w:val="24"/>
        </w:rPr>
      </w:pPr>
      <w:r>
        <w:rPr>
          <w:rFonts w:cs="Arial" w:ascii="Arial" w:hAnsi="Arial"/>
          <w:sz w:val="24"/>
        </w:rPr>
      </w:r>
    </w:p>
    <w:p>
      <w:pPr>
        <w:pStyle w:val="BodyText2"/>
        <w:ind w:start="2160" w:end="0"/>
        <w:rPr>
          <w:rFonts w:ascii="Arial" w:hAnsi="Arial" w:cs="Arial"/>
        </w:rPr>
      </w:pPr>
      <w:r>
        <w:rPr>
          <w:rFonts w:cs="Arial" w:ascii="Arial" w:hAnsi="Arial"/>
        </w:rPr>
        <w:t>Any cargo for which Enron Americas delivers a firm delivery confirmation at least thirty (30) days prior to the month in which such cargo is scheduled to be delivered pursuant to the Annual Program, shall be referred to as a "30-Day Firm Quantity."  Any cargo for which Enron Americas delivers a firm delivery confirmation less than thirty (30) days, but at least ten (10) days, prior to the month in which such cargo is scheduled to be delivered pursuant to the Annual Program, shall be referred to as a "10-Day Firm Quantity."  Any cargo for which Enron Americas delivers a firm delivery confirmation less than ten (10) days prior to the month in which such cargo is scheduled to be delivered pursuant to the Annual Program, but at least eight (8) days prior to the commencement of the two-day arrival window for such cargo, shall be referred to as an "8-Day Firm Quantity" and collectively with 30-Day Firm Quantities and 10-Day Firm Quantities as the "Firm Delivery Quantities."  If the Obligation Date occurs prior to the Reactivation Date, (i) the ACQ from the Obligation Date until the Reactivation Date shall be deemed to be on an annualized basis fifty-eight (58) Bcf without any adjustment thereto based on the actual capacity of the Elba Island Facility during such period and (ii) Sonat Energy shall have no obligation to take or pay for LNG hereunder during such period to the extent the delay in the Reactivation Date was the result of an event of Force Majeure.</w:t>
      </w:r>
    </w:p>
    <w:p>
      <w:pPr>
        <w:pStyle w:val="BodyText2"/>
        <w:ind w:start="2160" w:end="0"/>
        <w:rPr>
          <w:rFonts w:ascii="Arial" w:hAnsi="Arial" w:cs="Arial"/>
        </w:rPr>
      </w:pPr>
      <w:r>
        <w:rPr>
          <w:rFonts w:cs="Arial" w:ascii="Arial" w:hAnsi="Arial"/>
        </w:rPr>
      </w:r>
    </w:p>
    <w:p>
      <w:pPr>
        <w:pStyle w:val="Normal"/>
        <w:ind w:start="2160" w:end="0"/>
        <w:jc w:val="both"/>
        <w:rPr>
          <w:rFonts w:ascii="Arial" w:hAnsi="Arial" w:cs="Arial"/>
          <w:sz w:val="24"/>
        </w:rPr>
      </w:pPr>
      <w:r>
        <w:rPr>
          <w:rFonts w:cs="Arial" w:ascii="Arial" w:hAnsi="Arial"/>
          <w:sz w:val="24"/>
        </w:rPr>
        <w:t>From time to time during the term of this Agreement, upon at least ninety (90) days prior written notice to Sonat Energy (the "Redelivery Notice"), Enron Americas shall have the option (the "Redelivery Option") to elect to deliver all or a portion of the ACQ (the "Redelivery Quantities") subject to the right and obligation of Sonat Energy to redeliver to Enron Americas the Delivered Volume of such LNG (the "Redelivered Gas") for the same price paid by Sonat Energy in form of regasified LNG at the tailgate of the Elba Island Facility, subject to the following requirements and limitations:</w:t>
      </w:r>
    </w:p>
    <w:p>
      <w:pPr>
        <w:pStyle w:val="Normal"/>
        <w:ind w:start="2160" w:end="0"/>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Such Redelivery Option may only be exercised in increments of 10,000 MMBtu per day;</w:t>
      </w:r>
    </w:p>
    <w:p>
      <w:pPr>
        <w:pStyle w:val="Normal"/>
        <w:ind w:start="2160" w:end="0"/>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If Enron Americas nominates gas for transportation on the SNG pipeline system, (i) Enron Americas or an affiliate thereof must have subscribed (directly from SNG) to firm transportation on the SNG system for a term not less than the lesser of ten (10) years or the then-remaining term of the Agreement, (ii) the Elba Island Facility must be, and remain during the duration of such firm transportation, the primary receipt point for such firm transportation, and (iii) such firm transportation (in MMBtu per day) shall be for a quantity equal to the quantity of gas (in MMBtu per day) nominated in the Redelivery Notice to be redelivered to Enron Americas on the SNG system ((i), (ii) and (iii) collectively, the "Firm Transportation Requirement");</w:t>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Each Redelivery Option is for a minimum of twenty-one (21) months and may be cancelled thereafter only on ninety (90) days prior written notice to Sonat Energy (the "Redelivery Term");</w:t>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Except with the prior consent of Sonat Energy, such Redelivered Gas must be taken by Enron Americas on a ratable daily basis throughout the Redelivery Term on a basis set forth in the Redelivery Notice;</w:t>
      </w:r>
    </w:p>
    <w:p>
      <w:pPr>
        <w:pStyle w:val="Normal"/>
        <w:ind w:start="2160" w:end="0"/>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Enron Americas may deliver Redelivered Quantities only on a reasonably ratable basis throughout the Redelivery Term  so as to allow Sonat Energy to deliver the Redelivered Gas associated with such Redelivered Quantities to Enron Americas on a ratable daily basis;</w:t>
      </w:r>
    </w:p>
    <w:p>
      <w:pPr>
        <w:pStyle w:val="Normal"/>
        <w:ind w:start="2160" w:end="0"/>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Unless such quantities are specifically reconfirmed as either 8-Day Firm Quantities, 10-Day Firm Quantities, or 30-Day Firm Quantities on adequate notice as provided herein, any quantities of LNG confirmed as Redelivery Quantities and subsequently delivered to Sonat Energy other than as required in paragraph (e) above shall be treated for all purposes (other than Sonat Energy's liability to take or pay for such LNG) as 8-Day Firm Quantities; and</w:t>
      </w:r>
    </w:p>
    <w:p>
      <w:pPr>
        <w:pStyle w:val="Normal"/>
        <w:ind w:start="2160" w:end="0"/>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All Redelivery Quantities must be confirmed for delivery on at least thirty (30) days prior notice to Sonat Energy.  Redelivery Quantities may be reconfirmed as 8-Day Quantities, 10-Day Quantities or 30-Day Quantities provided such reconfirmation meets the confirmation requirements for such Firm Delivery Quantities set forth above.</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Enron Americas may elect a Redelivery Option from time to time during the Term of this Agreement and may designate a cargo as containing a portion of Firm Delivery Quantities and the balance as Redelivery Quantities.</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Sonat Energy shall not be in default of its obligation to deliver to Enron Americas Redelivered Gas pursuant to the Redelivery Option if Enron Americas fails, for any reason, to deliver sufficient cargoes of Redelivery Quantities to Sonat Energy in order to allow Sonat Energy to make deliveries of Redelivered Gas to Enron Americas at the daily delivery rate (in MMBtu per day) set forth in Enron Americas' Redelivery Notice.</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 xml:space="preserve">If Sonat Energy fails to redeliver the Redelivered Gas related to Redelivery Quantities that Sonat Energy has taken (or was obligated to take and did not take for reasons unexcused by this Agreement) from Enron Americas as and when required by this Agreement, Sonat Energy shall be liable to Enron Americas for all damages incurred as a result of Sonat Energy's failure to deliver; provided, however that Sonat Energy's liability shall be limited to five hundred percent (500%) of the Monthly Henry Hub Index (as defined in "Price") per MMBtu multiplied by the quantity of Redelivered Gas (measured in MMBtu) to be delivered on a daily basis as nominated in the Redelivery Notice for each day on which Sonat Energy was required to make such delivery but failed to do so.  Sonat Energy's obligation  to redeliver to Enron Americas any Redelivered Gas shall be limited to the volume of Redelivery Quantities delivered by Enron Americas (including any quantities delivered to an alternate delivery point as provided herein) plus any Redelivery Quantities that were not delivered under circumstances where Sonat Energy was obligated to take such Redelivery Quantities. </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Alternate Delivery</w:t>
      </w:r>
    </w:p>
    <w:p>
      <w:pPr>
        <w:pStyle w:val="Normal"/>
        <w:ind w:hanging="2160" w:start="2160" w:end="0"/>
        <w:jc w:val="both"/>
        <w:rPr>
          <w:rFonts w:ascii="Arial" w:hAnsi="Arial" w:cs="Arial"/>
          <w:sz w:val="24"/>
        </w:rPr>
      </w:pPr>
      <w:r>
        <w:rPr>
          <w:rFonts w:cs="Arial" w:ascii="Arial" w:hAnsi="Arial"/>
          <w:sz w:val="24"/>
        </w:rPr>
        <w:t>Points:</w:t>
        <w:tab/>
        <w:t>If there is a temporary operational constraint at the Elba Island Facility, or in order to take Make-Up Quantities as described in "Take or Pay/Delivery Failure," Sonat Energy may designate an alternate delivery point for receipt of any quantities to be delivered hereunder, provided that Sonat Energy arranges its own shipping, pays any additional costs associated with or arising out of the delivery to such alternate delivery point, including, without limitation, terminalling costs.  Enron Americas may provide such shipping if such provision does not materially interfere with its other requirements for such ship, and Sonat Energy covers the cost thereof and any additional costs to Enron Americas and its affiliates in connection with the delivery of such cargo to the Alternate Delivery Point.  Any volumes delivered to an alternate delivery point pursuant to this paragraph shall be deemed to have been delivered and taken at the Elba Island Facility pursuant to Sonat Energy's obligations set forth in the section "Sale &amp; Purchase"; provided, however, that the designation of an alternate delivery for a cargo of Redelivery Quantity shall not relieve Sonat Energy from delivering to Enron Americas, pursuant to the Redelivery Option, a quantity of Redelivered Gas equal to the Delivered Volume of Redelivery Quantities delivered to such alternate delivery point.</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sz w:val="24"/>
        </w:rPr>
        <w:t>Take or Pay/</w:t>
      </w:r>
    </w:p>
    <w:p>
      <w:pPr>
        <w:pStyle w:val="Normal"/>
        <w:keepNext w:val="true"/>
        <w:keepLines/>
        <w:ind w:hanging="2160" w:start="2160" w:end="0"/>
        <w:jc w:val="both"/>
        <w:rPr>
          <w:rFonts w:ascii="Arial" w:hAnsi="Arial" w:cs="Arial"/>
          <w:sz w:val="24"/>
        </w:rPr>
      </w:pPr>
      <w:r>
        <w:rPr>
          <w:rFonts w:cs="Arial" w:ascii="Arial" w:hAnsi="Arial"/>
          <w:sz w:val="24"/>
        </w:rPr>
        <w:t>Delivery Failure:</w:t>
        <w:tab/>
        <w:t>Should Sonat Energy fail, for reasons unexcused by this Agreement, to take LNG as required hereunder, it shall pay Enron Americas for any cargo not taken, with such amount being calculated as the expected volume of any cargo not taken times the applicable price for such quantities for the month that delivery was scheduled to have occurred less, in all cases, the Resale Credits associated with such cargo as defined below.  "Resale Credits" shall mean, with respect to any cargo, all amounts received by Enron Americas for an incremental sale to any other person of such cargo not taken by Sonat Energy (if such cargo was sold or delivered within ten (10) days from the scheduled day of delivery to Sonat Energy) (each a "Resale Cargo") less any additional costs incurred by Enron Americas in connection with or arising out of the sale to such person other than Sonat Energy.  Sonat Energy's take-or-pay liability shall constitute Enron Americas' sole and exclusive remedy for Sonat Energy's failure to take LNG from Enron Americas pursuant to this Agreement.</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In the event that Sonat Energy pays for any quantity of LNG not taken by Sonat Energy (other than Resale Cargoes), then Sonat Energy shall have the right, during the five (5) immediately following Contract Years to take such quantity of LNG ("Make-Up Quantity") without further payment.  Sonat Energy's right to take the Make-Up Quantity without payment: (i) can be exercised in any Contract Year only after the ACQ for that Contract Year has been accommodated in the Annual Program; (ii) shall be subject to the availability of shipping capacity and production (after taking into account all other firm LNG sale obligations of Enron Americas including quantities that can be taken at the option of a third party other than affiliates of Enron Americas, for the relevant Contract Year pursuant to agreements executed on or before the date upon which Sonat Energy's right to take Make-Up Quantities accrued hereunder), and (iii) shall be limited to no more than five percent (5%) of the ACQ per Contract Year.  Sonat Energy may designate an alternate delivery point for receipt of its Make-Up Quantities, as provided in "Alternate Delivery Points" above.  In the event Sonat Energy is unable, as a result of a lack of shipping capacity or production or both, to take a quantity of Make-Up Quantities up to its maximum limit of five percent (5%) of ACQ within the succeeding five (5) Contract Years despite annual requests to schedule the delivery of such Make-Up Quantities, Sonat Energy shall receive a rebate of thirty-seven percent (37%) of the take-or-pay amounts paid to Enron Americas for such Make-Up Quantities with respect to such cargo.</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Enron Americas fails to deliver any cargo of Firm Delivery Quantities, unless otherwise excused, Enron Americas shall be liable to Sonat Energy for all damages incurred as a result of Enron Americas' failure to deliver; provided, however, that Enron Americas' liability for each delivery failure, other than liability for Terminalling Costs, shall be limited to an amount equal to the product of five hundred percent (500%) of the Monthly Henry Hub Index (as defined in "Price") per MMBtu multiplied by the lesser of (i) 160,000 MMBtu per day for each day Enron Americas is late in its delivery of such cargo or (ii) the quantity of LNG (measured in MMBtu) in the expected cargo.</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Payments by Sonat Energy for take-or-pay liabilities and by Enron Americas for non-delivery liabilities shall be due in the month following the month in which such liability was incurred, based on the expected quantity of LNG in the applicable cargo.</w:t>
      </w:r>
    </w:p>
    <w:p>
      <w:pPr>
        <w:pStyle w:val="Normal"/>
        <w:ind w:hanging="2160" w:start="216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Round Up/</w:t>
      </w:r>
    </w:p>
    <w:p>
      <w:pPr>
        <w:pStyle w:val="BodyText2"/>
        <w:ind w:hanging="2160" w:start="2160" w:end="0"/>
        <w:rPr>
          <w:rFonts w:ascii="Arial" w:hAnsi="Arial" w:cs="Arial"/>
          <w:color w:val="000000"/>
        </w:rPr>
      </w:pPr>
      <w:r>
        <w:rPr>
          <w:rFonts w:cs="Arial" w:ascii="Arial" w:hAnsi="Arial"/>
        </w:rPr>
        <w:t>Round Down:</w:t>
        <w:tab/>
        <w:t>In any Contract Year Enron Americas shall be entitled to request an increase in the ACQ by an amount up to the volume of one full cargo in order to permit an even number of full cargoes to be included in the Annual Program.  Sonat Energy shall be entitled to either accept or reject such request.  If the request is granted, the ACQ for the following Contract Year shall be reduced by the amount of the increase in the ACQ granted by Sonat Energy.  If Sonat Energy does not accept the request, the ACQ for the following Contract Year shall be increased by the difference between the ACQ and the quantity of LNG that Enron Americas was permitted to include in the Annual Program.</w:t>
      </w:r>
    </w:p>
    <w:p>
      <w:pPr>
        <w:pStyle w:val="Normal"/>
        <w:jc w:val="both"/>
        <w:rPr>
          <w:rFonts w:ascii="Arial" w:hAnsi="Arial" w:cs="Arial"/>
          <w:color w:val="000000"/>
          <w:sz w:val="24"/>
        </w:rPr>
      </w:pPr>
      <w:r>
        <w:rPr>
          <w:rFonts w:cs="Arial" w:ascii="Arial" w:hAnsi="Arial"/>
          <w:color w:val="000000"/>
          <w:sz w:val="24"/>
        </w:rPr>
      </w:r>
    </w:p>
    <w:p>
      <w:pPr>
        <w:pStyle w:val="Normal"/>
        <w:ind w:hanging="2160" w:start="2160" w:end="0"/>
        <w:jc w:val="both"/>
        <w:rPr>
          <w:rFonts w:ascii="Arial" w:hAnsi="Arial" w:cs="Arial"/>
          <w:sz w:val="24"/>
        </w:rPr>
      </w:pPr>
      <w:r>
        <w:rPr>
          <w:rFonts w:cs="Arial" w:ascii="Arial" w:hAnsi="Arial"/>
          <w:sz w:val="24"/>
        </w:rPr>
        <w:t>Price:</w:t>
        <w:tab/>
        <w:t>The price (expressed in United States Dollars per million British thermal units (US$/MMBtu) to be paid for each MMBtu of LNG delivered hereunder (as adjusted herein) shall be:</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in the case of deliveries of 30-Day Firm Quantities:  the sum of (i) the First of the Month Inside FERC's Gas Market Report for Prices of Spot Gas Delivered to Pipelines, Henry Hub Index during such month (the "Monthly Henry Hub Index") plus (ii) two cents ($0.02) per MMBtu;</w:t>
      </w:r>
    </w:p>
    <w:p>
      <w:pPr>
        <w:pStyle w:val="Normal"/>
        <w:ind w:start="2160" w:end="0"/>
        <w:jc w:val="both"/>
        <w:rPr>
          <w:rFonts w:ascii="Arial" w:hAnsi="Arial" w:eastAsia="Arial" w:cs="Arial"/>
          <w:sz w:val="24"/>
        </w:rPr>
      </w:pPr>
      <w:r>
        <w:rPr>
          <w:rFonts w:eastAsia="Arial" w:cs="Arial" w:ascii="Arial" w:hAnsi="Arial"/>
          <w:sz w:val="24"/>
        </w:rPr>
        <w:t xml:space="preserve"> </w:t>
      </w:r>
    </w:p>
    <w:p>
      <w:pPr>
        <w:pStyle w:val="Normal"/>
        <w:numPr>
          <w:ilvl w:val="0"/>
          <w:numId w:val="16"/>
        </w:numPr>
        <w:jc w:val="both"/>
        <w:rPr>
          <w:rFonts w:ascii="Arial" w:hAnsi="Arial" w:cs="Arial"/>
          <w:sz w:val="24"/>
        </w:rPr>
      </w:pPr>
      <w:r>
        <w:rPr>
          <w:rFonts w:cs="Arial" w:ascii="Arial" w:hAnsi="Arial"/>
          <w:sz w:val="24"/>
        </w:rPr>
        <w:t>in the case of deliveries of 10-Day Firm Quantities:  the First of the Month Inside FERC's Gas Market Report for Prices of Spot Gas Delivered to Pipelines, SNG Louisiana Index, during such month;</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in the case of 8-Day Firm Quantities:  the average Gas Daily Low Price for the thirty (30) day period beginning eight (8) days prior to the commencement of the two-day arrival window for such cargo, where "Gas Daily Low Price" means, with respect to a given day, the price per MMBtu at the lowest end of the Gas Daily absolute range Louisiana-Onshore South, Sonat spot prices for such day; and</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in the case of deliveries pursuant to the Redelivery Option: the Monthly Henry Hub Index.</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 xml:space="preserve">In each case the price shall be applied to the delivered volume ("Delivered Volume" or "DV"), which shall mean with respect to a given month, the quantity of LNG delivered during such month by Enron Americas, determined in accordance with this Agreement, and reduced to account for any fuel used, and lost and unaccounted for gas ("Fuel Gas") at the Elba Island Facility and the quantity of gas returned to Enron Americas' LNG Tanker to replace the LNG discharged ("Return Gas").  Sonat Energy shall provide Enron Americas with copies of all measurement data received from SLNG with respect to Fuel Gas and Return Gas attributable to Enron Americas.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Extended Period</w:t>
      </w:r>
    </w:p>
    <w:p>
      <w:pPr>
        <w:pStyle w:val="Normal"/>
        <w:ind w:hanging="2160" w:start="2160" w:end="0"/>
        <w:jc w:val="both"/>
        <w:rPr>
          <w:rFonts w:ascii="Arial" w:hAnsi="Arial" w:cs="Arial"/>
          <w:sz w:val="24"/>
        </w:rPr>
      </w:pPr>
      <w:r>
        <w:rPr>
          <w:rFonts w:cs="Arial" w:ascii="Arial" w:hAnsi="Arial"/>
          <w:sz w:val="24"/>
        </w:rPr>
        <w:t>Pricing:</w:t>
        <w:tab/>
        <w:t>In the event this Agreement is extended beyond the initial seventeen (17) year term, the price to be paid for LNG purchased hereunder shall be negotiated by the Parties.  If the Parties are unable to agree upon a price, (i) the Redelivery Option price and the other Redelivery Option provisions (except the Firm Transportation Requirement) shall apply and (ii) Enron Americas shall continue to pay Terminalling Costs to Sonat Energy throughout the entire Term of this Agreement.</w:t>
      </w:r>
    </w:p>
    <w:p>
      <w:pPr>
        <w:pStyle w:val="Normal"/>
        <w:jc w:val="both"/>
        <w:rPr>
          <w:rFonts w:ascii="Arial" w:hAnsi="Arial" w:cs="Arial"/>
          <w:sz w:val="24"/>
        </w:rPr>
      </w:pPr>
      <w:r>
        <w:rPr>
          <w:rFonts w:cs="Arial" w:ascii="Arial" w:hAnsi="Arial"/>
          <w:sz w:val="24"/>
        </w:rPr>
      </w:r>
    </w:p>
    <w:p>
      <w:pPr>
        <w:pStyle w:val="Normal"/>
        <w:ind w:hanging="2160" w:start="2160" w:end="0"/>
        <w:rPr/>
      </w:pPr>
      <w:r>
        <w:rPr>
          <w:rFonts w:cs="Arial" w:ascii="Arial" w:hAnsi="Arial"/>
          <w:sz w:val="24"/>
        </w:rPr>
        <w:t>Rate Moratorium:</w:t>
        <w:tab/>
        <w:t>The Parties acknowledge that SLNG has proposed in its applications to the FERC that SLNG will file with the FERC  to adjust its rates based on the actual capital costs of recommissioning the Elba Island Facility pursuant to SLNG's FERC Gas Certificate, SLNG's contract and property rights and any financing arrangements accepted by SLNG.  Following such rate filing, Sonat Energy shall cause SLNG not to make a general rate filing to become effective earlier than the seventh (7</w:t>
      </w:r>
      <w:r>
        <w:rPr>
          <w:rFonts w:cs="Arial" w:ascii="Arial" w:hAnsi="Arial"/>
          <w:sz w:val="24"/>
          <w:vertAlign w:val="superscript"/>
        </w:rPr>
        <w:t>th</w:t>
      </w:r>
      <w:r>
        <w:rPr>
          <w:rFonts w:cs="Arial" w:ascii="Arial" w:hAnsi="Arial"/>
          <w:sz w:val="24"/>
        </w:rPr>
        <w:t>) anniversary of the In-Service Date, and if SLNG has not, prior to such seventh (7</w:t>
      </w:r>
      <w:r>
        <w:rPr>
          <w:rFonts w:cs="Arial" w:ascii="Arial" w:hAnsi="Arial"/>
          <w:sz w:val="24"/>
          <w:vertAlign w:val="superscript"/>
        </w:rPr>
        <w:t>th</w:t>
      </w:r>
      <w:r>
        <w:rPr>
          <w:rFonts w:cs="Arial" w:ascii="Arial" w:hAnsi="Arial"/>
          <w:sz w:val="24"/>
        </w:rPr>
        <w:t>) anniversary, experienced an underrecovery of more than five percent (5%) of SLNG's annual cost of service, such rate moratorium will be extended to the earlier of (i) the date upon which SLNG experiences an underrecovery of more than five percent (5%), or (ii) the tenth (10</w:t>
      </w:r>
      <w:r>
        <w:rPr>
          <w:rFonts w:cs="Arial" w:ascii="Arial" w:hAnsi="Arial"/>
          <w:sz w:val="24"/>
          <w:vertAlign w:val="superscript"/>
        </w:rPr>
        <w:t>th</w:t>
      </w:r>
      <w:r>
        <w:rPr>
          <w:rFonts w:cs="Arial" w:ascii="Arial" w:hAnsi="Arial"/>
          <w:sz w:val="24"/>
        </w:rPr>
        <w:t>) anniversary of the In-Service Date; provided,  however, that SLNG shall have the right to file a general rate increase to recover the costs associated with legally imposed obligations/requirements, uninsured losses and, following the fifth (5</w:t>
      </w:r>
      <w:r>
        <w:rPr>
          <w:rFonts w:cs="Arial" w:ascii="Arial" w:hAnsi="Arial"/>
          <w:sz w:val="24"/>
          <w:vertAlign w:val="superscript"/>
        </w:rPr>
        <w:t>th</w:t>
      </w:r>
      <w:r>
        <w:rPr>
          <w:rFonts w:cs="Arial" w:ascii="Arial" w:hAnsi="Arial"/>
          <w:sz w:val="24"/>
        </w:rPr>
        <w:t>) anniversary of the In-Service Date, dredging and spoil disposal.  In consideration of the foregoing, Enron Americas shall not make any filing under Section 5 of the Natural Gas Act with respect to any aspect of the rates set forth in SLNG's FERC Gas Tariff prior to the fifth (5</w:t>
      </w:r>
      <w:r>
        <w:rPr>
          <w:rFonts w:cs="Arial" w:ascii="Arial" w:hAnsi="Arial"/>
          <w:sz w:val="24"/>
          <w:vertAlign w:val="superscript"/>
        </w:rPr>
        <w:t>th</w:t>
      </w:r>
      <w:r>
        <w:rPr>
          <w:rFonts w:cs="Arial" w:ascii="Arial" w:hAnsi="Arial"/>
          <w:sz w:val="24"/>
        </w:rPr>
        <w:t>) Anniversary of the In-Service Date.</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Terminalling Costs:</w:t>
        <w:tab/>
        <w:t>Commencing with the later of the first day of the month following the month in which SLNG's FERC Gas Tariff becomes effective (the "In-Service Date") or October 1, 2003 (the later of such dates, the "Payment Commencement Date"), Enron Americas shall pay Sonat Energy each month during the term of this Agreement an amount equal to the sum of the following (the "Terminalling Costs"):</w:t>
      </w:r>
    </w:p>
    <w:p>
      <w:pPr>
        <w:pStyle w:val="Normal"/>
        <w:ind w:hanging="2160" w:start="2160" w:end="0"/>
        <w:jc w:val="both"/>
        <w:rPr>
          <w:rFonts w:ascii="Arial" w:hAnsi="Arial" w:cs="Arial"/>
          <w:sz w:val="24"/>
        </w:rPr>
      </w:pPr>
      <w:r>
        <w:rPr>
          <w:rFonts w:cs="Arial" w:ascii="Arial" w:hAnsi="Arial"/>
          <w:sz w:val="24"/>
        </w:rPr>
      </w:r>
    </w:p>
    <w:p>
      <w:pPr>
        <w:pStyle w:val="Normal"/>
        <w:numPr>
          <w:ilvl w:val="0"/>
          <w:numId w:val="15"/>
        </w:numPr>
        <w:jc w:val="both"/>
        <w:rPr>
          <w:rFonts w:ascii="Arial" w:hAnsi="Arial" w:cs="Arial"/>
          <w:sz w:val="24"/>
        </w:rPr>
      </w:pPr>
      <w:r>
        <w:rPr>
          <w:rFonts w:cs="Arial" w:ascii="Arial" w:hAnsi="Arial"/>
          <w:sz w:val="24"/>
        </w:rPr>
        <w:t>forty-one percent (41%) of (A) the actual total fixed monthly costs paid by Sonat Energy to SLNG in such month under the Service Agreement with SLNG for terminalling capacity and (B) the costs of replacing the existing vaporizers (the "Vaporizer Refurbishment") and adding an additional vaporizer and pump (the "Vaporizer Addition," and together with Vaporizer Refurbishment, the "Vaporizer Improvements") (provided, however, Enron Americas shall not be obligated to pay more than its pro rata share of the costs associated with the Vaporizer Refurbishment, which pro rata share shall not exceed forty-one percent (41%) of the cost of service applicable to the capital investment (or such other arrangement that is acceptable to SLNG), up to $6 million and its pro rata share of the costs associated with the Vaporizer Addition, which pro rata share shall not exceed forty-one percent (41%) of the cost of service applicable to the capital investment (or such other arrangement that is acceptable to SLNG), up to $6 million; the total costs for Vaporizer Improvements not to exceed $10 million); plus</w:t>
      </w:r>
    </w:p>
    <w:p>
      <w:pPr>
        <w:pStyle w:val="Normal"/>
        <w:ind w:start="2160" w:end="0"/>
        <w:jc w:val="both"/>
        <w:rPr>
          <w:rFonts w:ascii="Arial" w:hAnsi="Arial" w:cs="Arial"/>
          <w:sz w:val="24"/>
        </w:rPr>
      </w:pPr>
      <w:r>
        <w:rPr>
          <w:rFonts w:cs="Arial" w:ascii="Arial" w:hAnsi="Arial"/>
          <w:sz w:val="24"/>
        </w:rPr>
      </w:r>
    </w:p>
    <w:p>
      <w:pPr>
        <w:pStyle w:val="Normal"/>
        <w:numPr>
          <w:ilvl w:val="0"/>
          <w:numId w:val="15"/>
        </w:numPr>
        <w:jc w:val="both"/>
        <w:rPr>
          <w:rFonts w:ascii="Arial" w:hAnsi="Arial" w:cs="Arial"/>
          <w:sz w:val="24"/>
        </w:rPr>
      </w:pPr>
      <w:r>
        <w:rPr>
          <w:rFonts w:cs="Arial" w:ascii="Arial" w:hAnsi="Arial"/>
          <w:sz w:val="24"/>
        </w:rPr>
        <w:t>the sum of (i) the portion of the actual total variable monthly costs, paid by Sonat Energy to SLNG under the Service Agreement with SLNG in such month that is allocable to Enron Americas' LNG including, but not limited to, the Electric Power Charge (as such term is defined in SLNG's FERC Gas Tariff); plus (ii) forty-one percent (41%) of the monthly operating costs attributable to the Vaporizer Improvements; plus</w:t>
      </w:r>
    </w:p>
    <w:p>
      <w:pPr>
        <w:pStyle w:val="Normal"/>
        <w:jc w:val="both"/>
        <w:rPr>
          <w:rFonts w:ascii="Arial" w:hAnsi="Arial" w:cs="Arial"/>
          <w:sz w:val="24"/>
        </w:rPr>
      </w:pPr>
      <w:r>
        <w:rPr>
          <w:rFonts w:cs="Arial" w:ascii="Arial" w:hAnsi="Arial"/>
          <w:sz w:val="24"/>
        </w:rPr>
      </w:r>
    </w:p>
    <w:p>
      <w:pPr>
        <w:pStyle w:val="Normal"/>
        <w:numPr>
          <w:ilvl w:val="0"/>
          <w:numId w:val="15"/>
        </w:numPr>
        <w:jc w:val="both"/>
        <w:rPr>
          <w:rFonts w:ascii="Arial" w:hAnsi="Arial" w:cs="Arial"/>
          <w:sz w:val="24"/>
        </w:rPr>
      </w:pPr>
      <w:r>
        <w:rPr>
          <w:rFonts w:cs="Arial" w:ascii="Arial" w:hAnsi="Arial"/>
          <w:sz w:val="24"/>
        </w:rPr>
        <w:t>forty-one percent (41%) of the Roll-Up Costs allocable to such month.</w:t>
      </w:r>
    </w:p>
    <w:p>
      <w:pPr>
        <w:pStyle w:val="Normal"/>
        <w:jc w:val="both"/>
        <w:rPr>
          <w:rFonts w:ascii="Arial" w:hAnsi="Arial" w:cs="Arial"/>
          <w:sz w:val="24"/>
        </w:rPr>
      </w:pPr>
      <w:r>
        <w:rPr>
          <w:rFonts w:cs="Arial" w:ascii="Arial" w:hAnsi="Arial"/>
          <w:sz w:val="24"/>
        </w:rPr>
      </w:r>
    </w:p>
    <w:p>
      <w:pPr>
        <w:pStyle w:val="Normal"/>
        <w:ind w:start="2160" w:end="0"/>
        <w:jc w:val="both"/>
        <w:rPr/>
      </w:pPr>
      <w:r>
        <w:rPr>
          <w:rFonts w:cs="Arial" w:ascii="Arial" w:hAnsi="Arial"/>
          <w:sz w:val="24"/>
        </w:rPr>
        <w:t>The term "Roll-Up Costs" shall mean, with respect to a given month, the total amount allocated to such month after amortizing over the period from the Payment Commencement Date through the earlier of the seventeenth (17</w:t>
      </w:r>
      <w:r>
        <w:rPr>
          <w:rFonts w:cs="Arial" w:ascii="Arial" w:hAnsi="Arial"/>
          <w:sz w:val="24"/>
          <w:vertAlign w:val="superscript"/>
        </w:rPr>
        <w:t>th</w:t>
      </w:r>
      <w:r>
        <w:rPr>
          <w:rFonts w:cs="Arial" w:ascii="Arial" w:hAnsi="Arial"/>
          <w:sz w:val="24"/>
        </w:rPr>
        <w:t>) anniversary of the Payment Commencement Date or the seventeenth (17</w:t>
      </w:r>
      <w:r>
        <w:rPr>
          <w:rFonts w:cs="Arial" w:ascii="Arial" w:hAnsi="Arial"/>
          <w:sz w:val="24"/>
          <w:vertAlign w:val="superscript"/>
        </w:rPr>
        <w:t>th</w:t>
      </w:r>
      <w:r>
        <w:rPr>
          <w:rFonts w:cs="Arial" w:ascii="Arial" w:hAnsi="Arial"/>
          <w:sz w:val="24"/>
        </w:rPr>
        <w:t>) anniversary of the Start Date, at an annual interest rate equal to ten and one-half percent (10.5%), the actual total costs (including all fixed and variable charges), if any, incurred by Sonat Energy under the Service Agreement with SLNG prior to the Payment Commencement Date.  Other than the Vaporizer Improvements and unless it otherwise agrees, Enron Americas shall not be required to pay for any costs associated with the installation of additional facilities or equipment at the Elba Island Facility if the installation of such is intended principally to increase the incremental capacity of the Elba Island Facility.</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Sonat Energy shall cause SLNG to provide Enron Americas with all reasonable detail relating to items to be included in the Terminalling Costs and shall endeavor to ensure that SLNG gives consideration to any comments or suggestions Enron Americas makes with respect to such Terminalling Costs.  Enron Americas' obligation to pay Terminalling Costs shall not be affected by any reduction in the ACQ.</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Notwithstanding anything to the contrary in this Agreement, Enron Americas shall not be responsible for any costs arising out of or associated with Sonat Energy's unexecused failure to comply with SLNG's FERC Gas Tariff unless such failure is attributable to Enron Americas or any affiliate thereof.</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Duties and Taxes:</w:t>
        <w:tab/>
        <w:t>All customs, taxes, excises, fees, duties, levies, charges and other assessments payable on or with respect to the sale or delivery of LNG to Sonat Energy, its exportation from the country of origin and the importation of LNG by Sonat Energy into the United States that arise prior to or at the Delivery Point shall be the responsibility of Enron Americas.  In the event Enron Americas exercises the Redelivery Option set forth above, all customs, taxes, excises, fees, duties, levies, charges and other assessments payable with respect to the sale of regasified LNG by Sonat Energy to Enron Americas shall be the responsibility of Enron Americas.  The Parties shall consider alternative mechanisms in the Definitive Agreement in order to minimize taxes.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Billing and</w:t>
      </w:r>
    </w:p>
    <w:p>
      <w:pPr>
        <w:pStyle w:val="Normal"/>
        <w:ind w:hanging="2160" w:start="2160" w:end="0"/>
        <w:jc w:val="both"/>
        <w:rPr/>
      </w:pPr>
      <w:r>
        <w:rPr>
          <w:rFonts w:cs="Arial" w:ascii="Arial" w:hAnsi="Arial"/>
          <w:sz w:val="24"/>
        </w:rPr>
        <w:t>Payment:</w:t>
        <w:tab/>
        <w:t>On or before the tenth (10th) day of each month following the month in which the earlier of the Start Date or the Payment Commencement Date occurs (i) Enron Americas shall forward to Sonat Energy a monthly statement indicating the total amount due to Enron Americas in such month for all amounts accrued to Enron Americas in the previous month pursuant to this Agreement, and (ii) Sonat Energy shall forward to Enron Americas a monthly statement for the total amount due to Sonat Energy in such month for all amounts accrued to Sonat Energy in the previous month pursuant to this Agreement.  The Party having a net amount due the other Party as a result of these monthly statements shall pay such net amount due without any other offset or deduction on the later of the twenty-fifth (25</w:t>
      </w:r>
      <w:r>
        <w:rPr>
          <w:rFonts w:cs="Arial" w:ascii="Arial" w:hAnsi="Arial"/>
          <w:sz w:val="24"/>
          <w:vertAlign w:val="superscript"/>
        </w:rPr>
        <w:t>th</w:t>
      </w:r>
      <w:r>
        <w:rPr>
          <w:rFonts w:cs="Arial" w:ascii="Arial" w:hAnsi="Arial"/>
          <w:sz w:val="24"/>
        </w:rPr>
        <w:t>) day of such month or fifteen (15) days after receipt of the other Party's monthly statement.</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Delivery Point:</w:t>
        <w:tab/>
        <w:t>The delivery point for LNG (the "Delivery Point") shall be the inlet flange of the LNG unloading line at the Elba Island Facility.  The delivery point for regasified LNG purchased by Enron Americas pursuant to the Redelivery Option shall be the outlet flange at the tailgate of the Elba Island Facility.</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Quality:</w:t>
        <w:tab/>
        <w:t>Except as set forth in the Quality Letter Agreement attached hereto as Attachment 1, (i) all LNG to be delivered by Enron Americas pursuant to this Agreement must conform to the quality specifications contained in SLNG's FERC Gas Tariff and (ii) Sonat Energy shall have no duty to accept or pay for nonconforming LNG.  Sonat Energy shall cause SLNG to use reasonable efforts to accept LNG from Enron Americas that does not meet the quality specifications set forth in the Quality Letter Agreement (the "Quality Specifications"); provided, however, that (i) if SLNG rejects any quantity of LNG that does not meet the Quality Specifications, Sonat Energy will be deemed to have rejected such quantity and shall have no liability to Enron Americas with respect to such quantity, (ii) neither Sonat Energy nor SLNG shall have any duty to install any additional equipment or modify any existing equipment in order to facilitate SLNG's acceptance of such LNG, and (iii) Enron Americas will bear financial responsibility for and shall reimburse or directly fund, at the direction of Sonat Energy or SLNG, 100% of all incremental costs (both capital and operational) and liabilities (direct, indirect and consequential)  incurred by SLNG or Sonat Energy in connection with the acceptance of LNG not meeting the Quality Specifications.</w:t>
      </w:r>
    </w:p>
    <w:p>
      <w:pPr>
        <w:pStyle w:val="Normal"/>
        <w:ind w:hanging="2160" w:start="2160" w:end="0"/>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Determination of </w:t>
      </w:r>
    </w:p>
    <w:p>
      <w:pPr>
        <w:pStyle w:val="BodyTextIndent3"/>
        <w:rPr/>
      </w:pPr>
      <w:r>
        <w:rPr/>
        <w:t>Capacity:</w:t>
        <w:tab/>
        <w:t>Not later than ninety (90) days prior to the commencement of each Contract Year, the Parties shall, together with the DQ suppliers, jointly determine the capacity of the Elba Island Facility.  If such parties are unable to agree upon the capacity of the Elba Island Facility, the issue shall be referred to a mutually-agreed upon expert for resolution.  In making his decision, the expert shall consider all relevant factors, including but not limited to the number, frequency, delivery schedule and size of any LNG Tankers delivering LNG to the Elba Island Facility, the operational capability and capacity of the facilities of the Elba Island Facility (including pumps, tanks and vaporization units) and the then-existing total sustainable capacity of the take away pipelines serving the Elba Island Facility, and operational limitations imposed by law, rule or regulation, but excluding any limitations imposed by SLNG's FERC Gas Tariff not otherwise imposed by law, rule or regulation.  To the extent the capacity is determined to be below 140 Bcf, the ACQ shall be adjusted to an amount equal to the quantity of LNG which constitutes forty-one percent (41%) of the capacity of the Elba Island Facility.  The adjustment of the ACQ shall not affect Enron Americas' obligation to pay Terminalling Costs as set forth in this Agreement.</w:t>
      </w:r>
    </w:p>
    <w:p>
      <w:pPr>
        <w:pStyle w:val="BodyTextIndent3"/>
        <w:rPr/>
      </w:pPr>
      <w:r>
        <w:rPr/>
      </w:r>
    </w:p>
    <w:p>
      <w:pPr>
        <w:pStyle w:val="Normal"/>
        <w:jc w:val="both"/>
        <w:rPr>
          <w:rFonts w:ascii="Arial" w:hAnsi="Arial" w:cs="Arial"/>
          <w:sz w:val="24"/>
        </w:rPr>
      </w:pPr>
      <w:r>
        <w:rPr>
          <w:rFonts w:cs="Arial" w:ascii="Arial" w:hAnsi="Arial"/>
          <w:sz w:val="24"/>
        </w:rPr>
        <w:t>Additional</w:t>
      </w:r>
    </w:p>
    <w:p>
      <w:pPr>
        <w:pStyle w:val="Normal"/>
        <w:ind w:hanging="2160" w:start="2160" w:end="0"/>
        <w:jc w:val="both"/>
        <w:rPr/>
      </w:pPr>
      <w:r>
        <w:rPr>
          <w:rFonts w:cs="Arial" w:ascii="Arial" w:hAnsi="Arial"/>
          <w:sz w:val="24"/>
        </w:rPr>
        <w:t>Capacity:</w:t>
      </w:r>
      <w:r>
        <w:rPr/>
        <w:t xml:space="preserve"> </w:t>
        <w:tab/>
      </w:r>
      <w:r>
        <w:rPr>
          <w:rFonts w:cs="Arial" w:ascii="Arial" w:hAnsi="Arial"/>
          <w:sz w:val="24"/>
        </w:rPr>
        <w:t>Upon the completion of the Vaporizer Improvements the Parties shall determine the increase in capacity of the Elba Island Facility attributable to such Vaporizer Improvements (the "Additional Capacity").  If the Parties are unable to agree on the Additional Capacity, the issue shall be referred to a mutually-agreed upon expert for resolution.  In any Contract Year after the Vaporizer Improvements are completed that the capacity of the Elba Island Facility exceeds 160 Bcf Enron Americas shall be entitled to use up to the lesser of (i) forty-one percent (41%) of the Additional Capacity or (ii) forty-one percent (41%) of the amount of capacity in excess of 160 Bcf available in such Contract Year, to deliver additional cargoes ("Additional Cargoes") provided that Sonat Energy may use up to fifty percent (50%) of such Additional Capacity to receive Make-Up Quantities due hereunder that it has requested for delivery.</w:t>
      </w:r>
    </w:p>
    <w:p>
      <w:pPr>
        <w:pStyle w:val="Normal"/>
        <w:jc w:val="both"/>
        <w:rPr>
          <w:rFonts w:ascii="Arial" w:hAnsi="Arial" w:cs="Arial"/>
          <w:sz w:val="24"/>
        </w:rPr>
      </w:pPr>
      <w:r>
        <w:rPr>
          <w:rFonts w:cs="Arial" w:ascii="Arial" w:hAnsi="Arial"/>
          <w:sz w:val="24"/>
        </w:rPr>
      </w:r>
    </w:p>
    <w:p>
      <w:pPr>
        <w:pStyle w:val="Normal"/>
        <w:ind w:hanging="2160" w:start="2160" w:end="0"/>
        <w:jc w:val="both"/>
        <w:rPr/>
      </w:pPr>
      <w:r>
        <w:rPr>
          <w:rFonts w:cs="Arial" w:ascii="Arial" w:hAnsi="Arial"/>
          <w:sz w:val="24"/>
        </w:rPr>
        <w:t>Cargo Scheduling:</w:t>
      </w:r>
      <w:r>
        <w:rPr/>
        <w:t xml:space="preserve"> </w:t>
        <w:tab/>
      </w:r>
      <w:r>
        <w:rPr>
          <w:rFonts w:cs="Arial" w:ascii="Arial" w:hAnsi="Arial"/>
          <w:sz w:val="24"/>
        </w:rPr>
        <w:t>Beginning on the Obligation Date, each of Enron Americas and the DQ suppliers (collectively, the "Scheduling Parties" or each, a "Scheduling Party") shall have the right to schedule for delivery during each Contract Year such Party's pro rata share of the total capacity of the Elba Island Facility, up to a total annual capacity of 140 Bcf, with Enron Americas' share of such capacity being forty-one percent (41%) and the DQ suppliers' share of such capacity being fifty-nine percent (59%).</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Enron Americas and the DQ suppliers shall have equal priority with respect to all aspects of the scheduling of LNG cargoes in the Annual Program and the 90-Day Schedule within the annual quantities allocated to each such Scheduling Party with respect to the delivery of such cargoes.</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The DQ suppliers shall have the right to schedule additional cargoes for delivery during a Contract Year to the extent that the total annual capacity of the Elba Island Facility exceeds 140 Bcf; provided, however, that (i) the scheduling priority for such additional cargoes shall be secondary to the scheduling priority for the cargoes scheduled for delivery pursuant to the preceding paragraph, (ii) such additional cargoes shall be removed from the Annual Program if and to the extent that, during the course of such Contract Year, it becomes evident that the total annual capacity of the Elba Island Facility will be less than originally projected and (iii) under no circumstances will Enron Americas' two-day arrival window be advanced, postponed or reduced in duration in order to accommodate the scheduling of such additional cargoes in the Annual Program without Enron Americas' prior consent.</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Not later than ninety (90) days prior to the commencement of each Contract Year, Enron Americas and the DQ suppliers shall each submit to Sonat Energy such Scheduling Party's proposed schedule for cargo deliveries during such Contract Year along with an explanation of any operational and/or shipping considerations.  Based on the principles set forth above, Sonat Energy shall consult with Enron Americas and the DQ suppliers and, thereafter, issue an annual delivery schedule (the "Annual Program") to each Scheduling Party, which Annual Program shall reflect (i) to the extent reasonably practicable, each of the proposed schedules submitted to Sonat Energy by Enron Americas and the DQ suppliers,  (ii) any operational limitations at the Elba Island Facility and (iii) applicable provisions of SLNG's FERC Gas Tariff (except to the extent such provisions are in direct conflict with the expert's determination on capacity as provided for in "Determination of Capacity").</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Upon completion of the Annual Program, the ACQ for each Contract Year will be adjusted, if necessary, to reflect the total quantity of LNG that Enron Americas is scheduled to deliver to the Elba Island Facility as set forth in the Annual Program.  The adjustment of the ACQ shall not affect Enron Americas' obligation to pay the Terminalling Costs as set forth in this Agreement.</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The Annual Program issued by Sonat Energy shall set forth a two</w:t>
        <w:noBreakHyphen/>
        <w:t>day arrival window for each cargo proposed to be delivered during such Contract Year.  The pattern of deliveries by Enron Americas and the DQ suppliers in the Annual Program will be at rates and intervals that are reasonably constant throughout the Contract Year.</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either Enron Americas or the DQ suppliers do not believe that the Annual Program complies with the detailed Cargo Scheduling Principles in this Agreement and the LNG sales agreement between Sonat Energy and the DQ suppliers, respectively, such Scheduling Party shall have the right to submit such dispute to a mutually agreed</w:t>
        <w:noBreakHyphen/>
        <w:t>upon expert for review and resolution.  The expert shall be instructed to render his decision no less than thirty (30) days prior to the commencement of the Contract Year.  The expert's decision shall be premised on the annual capacity of the Elba Island Facility being equal to that determined in "Determination of Capacity" above and shall be final and binding upon all the parties.  The ACQ shall be reduced by any quantities of LNG requested by Enron Americas for inclusion in the Annual Program but which are not scheduled by the expert.  The adjustment of the ACQ shall not reduce Enron Americas' obligation to pay the Terminalling Costs as set forth in this Agreement.</w:t>
      </w:r>
    </w:p>
    <w:p>
      <w:pPr>
        <w:pStyle w:val="Normal"/>
        <w:ind w:start="2160" w:end="0"/>
        <w:jc w:val="both"/>
        <w:rPr>
          <w:rFonts w:ascii="Arial" w:hAnsi="Arial" w:cs="Arial"/>
          <w:sz w:val="24"/>
        </w:rPr>
      </w:pPr>
      <w:r>
        <w:rPr>
          <w:rFonts w:cs="Arial" w:ascii="Arial" w:hAnsi="Arial"/>
          <w:sz w:val="24"/>
        </w:rPr>
      </w:r>
    </w:p>
    <w:p>
      <w:pPr>
        <w:pStyle w:val="Normal"/>
        <w:ind w:start="2160" w:end="0"/>
        <w:jc w:val="both"/>
        <w:rPr/>
      </w:pPr>
      <w:r>
        <w:rPr>
          <w:rFonts w:cs="Arial" w:ascii="Arial" w:hAnsi="Arial"/>
          <w:sz w:val="24"/>
        </w:rPr>
        <w:t>Not later than the 15</w:t>
      </w:r>
      <w:r>
        <w:rPr>
          <w:rFonts w:cs="Arial" w:ascii="Arial" w:hAnsi="Arial"/>
          <w:sz w:val="24"/>
          <w:vertAlign w:val="superscript"/>
        </w:rPr>
        <w:t>th</w:t>
      </w:r>
      <w:r>
        <w:rPr>
          <w:rFonts w:cs="Arial" w:ascii="Arial" w:hAnsi="Arial"/>
          <w:sz w:val="24"/>
        </w:rPr>
        <w:t xml:space="preserve"> day of each month, Sonat Energy shall, after consultation with Enron Americas and the DQ suppliers, deliver to each other party a three</w:t>
        <w:noBreakHyphen/>
        <w:t>month forward plan for cargo deliveries to the Elba Island Facility (the "90</w:t>
        <w:noBreakHyphen/>
        <w:t>Day Schedule"), which shall follow the applicable Annual Program (or the most current draft thereof) to the extent reasonably practicable and shall set forth a two</w:t>
        <w:noBreakHyphen/>
        <w:t>day arrival window for each cargo to be delivered during such three</w:t>
        <w:noBreakHyphen/>
        <w:t>month period.  Each 90</w:t>
        <w:noBreakHyphen/>
        <w:t>Day Schedule shall reflect all adjustments, if any, necessitated by deviation from prior 90</w:t>
        <w:noBreakHyphen/>
        <w:t>Day Schedules so as to maintain to the extent reasonably practicable (i) the total deliveries forecast in the Annual Program and (ii) the scheduling priorities described above.</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Enron Americas shall confirm each cargo of Firm Delivery Quantities scheduled for delivery in the 90-Day Schedule at least eight (8) days prior to the commencement of the two-day arrival window for such cargo.  Enron Americas shall confirm each cargo of Redelivery Quantities scheduled for delivery in the 90-Day Schedule at least thirty (30) days prior to the commencement of the two-day arrival window; provided, however, that Enron Americas may reconfirm such Redelivery Quantities as Firm Delivery Quantities with at least eight (8) days notice prior to the commencement of the two-day arrival window.  If Enron Americas fails to firmly nominate a cargo of Firm Delivery Quantities or Redelivery Quantities via such confirmation: (i) Sonat Energy may remove such cargo from the 90-Day Schedule; and (ii) Sonat Energy will have no obligation to take such cargo.</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During the period of commissioning of either Enron Americas'  LNG production facilities and the DQ suppliers' LNG production facilities, the Scheduling Parties shall cooperate, to the extent reasonably practicable, in providing scheduling flexibility to each other Scheduling Party in order to facilitate the timely commissioning and start</w:t>
        <w:noBreakHyphen/>
        <w:t>up of such facilities.</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Each of the Scheduling Parties shall cooperate in implementing, to the extent reasonably practicable, even production and delivery rates so as to facilitate the smooth performance of the Annual Program, as modified by each 90</w:t>
        <w:noBreakHyphen/>
        <w:t>Day Schedule.  Upon the request of either Enron Americas or the DQ suppliers, Sonat Energy shall, upon consultation with and agreement by the other Scheduling Party, revise the most recent 90</w:t>
        <w:noBreakHyphen/>
        <w:t>Day Schedule when appropriate to meet operational requirements with the overall objective of fulfilling the Annual Program.  Enron Americas shall not unreasonably withhold its consent to requested revisions to the Annual Program and the 90</w:t>
        <w:noBreakHyphen/>
        <w:t>Day Schedule, subject to the agreement of the DQ suppliers to adhere to the same standard.</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Enron Americas or its LNG Tanker gives notice of readiness after its scheduled arrival window, Sonat Energy shall, subject to the applicable terms and conditions of SLNG's FERC Gas Tariff, use reasonable efforts to accept such delivery as soon as reasonably practicable; provided, however, that (i) no cargo of LNG scheduled in the Annual Program for delivery by the DQ suppliers shall be delayed from unloading within its arrival window, except with the consent of the DQ suppliers, (ii) Enron Americas shall be responsible to Sonat Energy for any economic loss suffered by Sonat Energy and the DQ suppliers due to the acceptance of such late delivery, and (iii) if Enron Americas or its LNG Tanker gives notice of readiness within the twenty-four (24) hour period following the scheduled arrival window, only that percent of the cargo not unloaded within the same twenty-four (24) hour period shall be considered late.</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the DQ suppliers or its LNG Tanker gives notice of readiness after its scheduled arrival window, Sonat Energy, shall, subject to the applicable terms and conditions of SLNG's FERC Gas Tariff, use reasonable efforts to accept such delivery as soon as reasonably practicable; provided, however, that (i) no cargo of LNG scheduled in the Annual Program for delivery by Enron Americas shall be delayed from unloading within its arrival window, except with the consent of Enron Americas, and (ii) Sonat Energy shall compensate, or shall cause the DQ suppliers to compensate, Enron Americas for any economic loss suffered by Enron Americas due to the acceptance of such late delivery.</w:t>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Upon receipt of Enron America's first notice regarding the delivery of each cargo of LNG, Sonat Energy shall notify Enron Americas' as to Sonat Energy's anticipated operational ability to receive such cargo, which notice shall include information on (i) the amount of inventory in SLNG's tanks, (ii) the expected gas send out rate until the first day in Enron Americas' arrival window, and (iii) the expected arrival windows of the LNG Tankers to arrive immediately before and immediately after Enron Americas' arrival window.  Sonat Energy may, when required by operational necessity, postpone the two day arrival window by one day without incurring any liability to Enron Americas for demurrage or other costs provided that Sonat Energy notifies Enron Americas as soon as possible, but in no event less than twenty-four (24) hours, in advance of such postponement, and permits an LNG Tanker that arrives during her originally scheduled arrival window to proceed to the berth as soon as it is feasible.</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Enron Americas shall attempt with the DQ suppliers to develop jointly a set of "mutual aid" principles between themselves by which each of them will, upon the request of the other Scheduling Party and with the objective of fulfilling the Annual Program, use reasonable efforts to minimize economic losses incurred in connection with shipping limitations.</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Title &amp; Risk:</w:t>
        <w:tab/>
        <w:t>Risk of loss of all LNG to be purchased and sold shall pass at the Delivery Point.  Title to all LNG to be purchased and sold shall pass at the last point where the LNG Tanker in route to the Elba Island Facility is outside the territorial waters of the United States; provided, however, that Enron Americas will fully indemnify and hold harmless Sonat Energy and each of its affiliates from and against all risks of loss, claims, liabilities and expenses associated with the passage of title prior to transfer of custody of the LNG at the Delivery Point.  Title and risk of loss of all regasified LNG repurchased by Enron Americas shall pass at the outlet flange at the tailgate of the Elba Island Facility.</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pPr>
      <w:r>
        <w:rPr>
          <w:rFonts w:cs="Arial" w:ascii="Arial" w:hAnsi="Arial"/>
          <w:sz w:val="24"/>
        </w:rPr>
        <w:t>Transportation:</w:t>
        <w:tab/>
        <w:t>Enron Americas shall</w:t>
      </w:r>
      <w:r>
        <w:rPr>
          <w:rFonts w:cs="Arial" w:ascii="Arial" w:hAnsi="Arial"/>
          <w:b/>
          <w:sz w:val="24"/>
        </w:rPr>
        <w:t xml:space="preserve"> </w:t>
      </w:r>
      <w:r>
        <w:rPr>
          <w:rFonts w:cs="Arial" w:ascii="Arial" w:hAnsi="Arial"/>
          <w:sz w:val="24"/>
        </w:rPr>
        <w:t>be responsible</w:t>
      </w:r>
      <w:r>
        <w:rPr>
          <w:rFonts w:cs="Arial" w:ascii="Arial" w:hAnsi="Arial"/>
          <w:b/>
          <w:sz w:val="24"/>
        </w:rPr>
        <w:t xml:space="preserve"> </w:t>
      </w:r>
      <w:r>
        <w:rPr>
          <w:rFonts w:cs="Arial" w:ascii="Arial" w:hAnsi="Arial"/>
          <w:sz w:val="24"/>
        </w:rPr>
        <w:t>for transporting all quantities of LNG provided for hereunder to the Elba Island Facility via one or more LNG Tankers ranging in capacity from 70,000 cbm to 140,000 cbm, each of which shall be subject to approval by Sonat Energy based upon compatibility with the Elba Island Facility and compliance with SLNG's FERC Gas Tariff, including all notice requirements prior to berthing.  The LNG Tankers shall further comply with all applicable international and local laws, conventions, rules and regulations.</w:t>
      </w:r>
    </w:p>
    <w:p>
      <w:pPr>
        <w:pStyle w:val="Normal"/>
        <w:ind w:hanging="2160" w:start="2160" w:end="0"/>
        <w:jc w:val="both"/>
        <w:rPr>
          <w:rFonts w:ascii="Arial" w:hAnsi="Arial" w:eastAsia="Arial" w:cs="Arial"/>
          <w:sz w:val="24"/>
        </w:rPr>
      </w:pPr>
      <w:r>
        <w:rPr>
          <w:rFonts w:eastAsia="Arial" w:cs="Arial" w:ascii="Arial" w:hAnsi="Arial"/>
          <w:sz w:val="24"/>
        </w:rPr>
        <w:t xml:space="preserve"> </w:t>
      </w:r>
    </w:p>
    <w:p>
      <w:pPr>
        <w:pStyle w:val="Normal"/>
        <w:keepLines/>
        <w:jc w:val="both"/>
        <w:rPr>
          <w:rFonts w:ascii="Arial" w:hAnsi="Arial" w:cs="Arial"/>
          <w:sz w:val="24"/>
        </w:rPr>
      </w:pPr>
      <w:r>
        <w:rPr>
          <w:rFonts w:cs="Arial" w:ascii="Arial" w:hAnsi="Arial"/>
          <w:sz w:val="24"/>
        </w:rPr>
      </w:r>
    </w:p>
    <w:p>
      <w:pPr>
        <w:pStyle w:val="Normal"/>
        <w:keepLines/>
        <w:jc w:val="both"/>
        <w:rPr>
          <w:rFonts w:ascii="Arial" w:hAnsi="Arial" w:cs="Arial"/>
          <w:sz w:val="24"/>
        </w:rPr>
      </w:pPr>
      <w:r>
        <w:rPr>
          <w:rFonts w:cs="Arial" w:ascii="Arial" w:hAnsi="Arial"/>
          <w:sz w:val="24"/>
        </w:rPr>
        <w:t>Laytime/</w:t>
      </w:r>
    </w:p>
    <w:p>
      <w:pPr>
        <w:pStyle w:val="Normal"/>
        <w:keepLines/>
        <w:ind w:hanging="2160" w:start="2160" w:end="0"/>
        <w:jc w:val="both"/>
        <w:rPr>
          <w:rFonts w:ascii="Arial" w:hAnsi="Arial" w:cs="Arial"/>
          <w:sz w:val="24"/>
        </w:rPr>
      </w:pPr>
      <w:r>
        <w:rPr>
          <w:rFonts w:cs="Arial" w:ascii="Arial" w:hAnsi="Arial"/>
          <w:sz w:val="24"/>
        </w:rPr>
        <w:t>Demurrage:</w:t>
        <w:tab/>
        <w:t>Subject to the terms and conditions of SLNG's FERC Gas Tariff, allowed laytime and the basis for determination thereof, as well as the calculation of demurrage charges and other customary charges related to port delays, shall be as agreed in the Definitive Agreement based on standard LNG Industry Practice.</w:t>
      </w:r>
    </w:p>
    <w:p>
      <w:pPr>
        <w:pStyle w:val="Normal"/>
        <w:jc w:val="both"/>
        <w:rPr>
          <w:rFonts w:ascii="Arial" w:hAnsi="Arial" w:cs="Arial"/>
          <w:sz w:val="24"/>
        </w:rPr>
      </w:pPr>
      <w:r>
        <w:rPr>
          <w:rFonts w:cs="Arial" w:ascii="Arial" w:hAnsi="Arial"/>
          <w:sz w:val="24"/>
        </w:rPr>
      </w:r>
    </w:p>
    <w:p>
      <w:pPr>
        <w:pStyle w:val="BodyTextIndent"/>
        <w:ind w:hanging="2160" w:start="2160" w:end="0"/>
        <w:rPr>
          <w:sz w:val="24"/>
        </w:rPr>
      </w:pPr>
      <w:r>
        <w:rPr>
          <w:sz w:val="24"/>
        </w:rPr>
        <w:t>Start Date:</w:t>
        <w:tab/>
        <w:t>Sonat Energy will provide to Enron Americas all relevant information pertaining to the initiation date of the DQ.</w:t>
      </w:r>
    </w:p>
    <w:p>
      <w:pPr>
        <w:pStyle w:val="BodyTextIndent"/>
        <w:ind w:hanging="0" w:end="0"/>
        <w:rPr>
          <w:sz w:val="24"/>
        </w:rPr>
      </w:pPr>
      <w:r>
        <w:rPr>
          <w:sz w:val="24"/>
        </w:rPr>
      </w:r>
    </w:p>
    <w:p>
      <w:pPr>
        <w:pStyle w:val="BodyTextIndent"/>
        <w:tabs>
          <w:tab w:val="clear" w:pos="720"/>
          <w:tab w:val="left" w:pos="2160" w:leader="none"/>
        </w:tabs>
        <w:ind w:hanging="0" w:start="2160" w:end="0"/>
        <w:rPr>
          <w:sz w:val="24"/>
        </w:rPr>
      </w:pPr>
      <w:r>
        <w:rPr>
          <w:sz w:val="24"/>
        </w:rPr>
        <w:t>On or before January 1, 2001, Enron Americas shall provide Sonat Energy with a three hundred sixty-five (365) day window beginning no earlier than January 1, 2002 for the delivery of the first cargo to the Elba Island Facility by Enron Americas (the "One Year Window").  No later than one hundred eighty (180) days prior to the first day of the One Year Window, Enron Americas shall provide Sonat Energy with a one hundred eighty (180) day window within the One Year Window for the delivery of the first cargo to the Elba Island Facility by Enron Americas (the "180 Day Window").  No later than sixty (60) days prior to the first day of the 180 Day Window, Enron Americas shall provide to Sonat Energy a thirty (30) day window within the 180 Day Window for the delivery of the first cargo to the Elba Island Facility by Enron Americas.  The date on which the first cargo is delivered to the Elba Island Facility by Enron Americas (the arrival of such cargo to be properly noticed as per the Definitive Agreement) shall be defined as the "Start Date."</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Force Majeure:</w:t>
        <w:tab/>
        <w:t>The Parties agree to the general principle that neither Party shall be liable to the other (or such other Party’s affiliates) for any failure to perform or for delay in performing any obligation, except the obligation to pay money due, to the extent that such Party’s performance is prevented, interfered with or delayed (in whole or in part) as a result of an event of Force Majeure as defined below.  For the avoidance of doubt, to the extent Sonat Energy is unable to take quantities of LNG due to any event of Force Majeure, Sonat Energy shall also be excused from its obligation to pay for such quantities not taken during such period of Force Majeure.</w:t>
      </w:r>
    </w:p>
    <w:p>
      <w:pPr>
        <w:pStyle w:val="Normal"/>
        <w:ind w:hanging="2160" w:start="2160" w:end="0"/>
        <w:jc w:val="both"/>
        <w:rPr>
          <w:rFonts w:ascii="Arial" w:hAnsi="Arial" w:cs="Arial"/>
          <w:sz w:val="24"/>
        </w:rPr>
      </w:pPr>
      <w:r>
        <w:rPr>
          <w:rFonts w:cs="Arial" w:ascii="Arial" w:hAnsi="Arial"/>
          <w:sz w:val="24"/>
        </w:rPr>
      </w:r>
    </w:p>
    <w:p>
      <w:pPr>
        <w:pStyle w:val="Level21"/>
        <w:numPr>
          <w:ilvl w:val="0"/>
          <w:numId w:val="0"/>
        </w:numPr>
        <w:ind w:hanging="0" w:start="2160" w:end="0"/>
        <w:jc w:val="both"/>
        <w:rPr>
          <w:rFonts w:ascii="Arial" w:hAnsi="Arial" w:cs="Arial"/>
        </w:rPr>
      </w:pPr>
      <w:r>
        <w:rPr>
          <w:rFonts w:cs="Arial" w:ascii="Arial" w:hAnsi="Arial"/>
        </w:rPr>
        <w:t>"Force Majeure" shall mean, with respect to either Party, any event or circumstance beyond the reasonable control of such Party and its affiliates, each such Party having acted as a Reasonable and Prudent Operator, and which results in or causes the failure of such Party to perform any one or more of its obligations under this Agreement. In addition, any "force majeure" (as such term is defined in the FERC Gas Tariffs of SLNG and SNG) of SLNG or SNG shall be deemed to be a Force Majeure of Sonat Energy for all purposes hereof.</w:t>
      </w:r>
    </w:p>
    <w:p>
      <w:pPr>
        <w:pStyle w:val="Level21"/>
        <w:numPr>
          <w:ilvl w:val="0"/>
          <w:numId w:val="0"/>
        </w:numPr>
        <w:ind w:hanging="0" w:start="0"/>
        <w:rPr>
          <w:rFonts w:ascii="Arial" w:hAnsi="Arial" w:cs="Arial"/>
        </w:rPr>
      </w:pPr>
      <w:r>
        <w:rPr>
          <w:rFonts w:cs="Arial" w:ascii="Arial" w:hAnsi="Arial"/>
        </w:rPr>
      </w:r>
    </w:p>
    <w:p>
      <w:pPr>
        <w:pStyle w:val="Level21"/>
        <w:numPr>
          <w:ilvl w:val="0"/>
          <w:numId w:val="0"/>
        </w:numPr>
        <w:ind w:hanging="0" w:start="2160" w:end="0"/>
        <w:jc w:val="both"/>
        <w:rPr>
          <w:rFonts w:ascii="Arial" w:hAnsi="Arial" w:cs="Arial"/>
        </w:rPr>
      </w:pPr>
      <w:r>
        <w:rPr>
          <w:rFonts w:cs="Arial" w:ascii="Arial" w:hAnsi="Arial"/>
        </w:rPr>
        <w:t>"Reasonable and Prudent Operator" shall mean a person acting in good faith with the intention of performing its contractual obligations and who, in so doing and in the general conduct of its undertaking, exercised that degree of skill, diligence, prudence and foresight which would reasonably and ordinarily be exercised by a skilled and experienced person complying with applicable law engaged in the same type of undertaking under the same or similar circum</w:t>
        <w:softHyphen/>
        <w:t>stances and conditions.</w:t>
      </w:r>
    </w:p>
    <w:p>
      <w:pPr>
        <w:pStyle w:val="Normal"/>
        <w:rPr>
          <w:rFonts w:ascii="Arial" w:hAnsi="Arial" w:cs="Arial"/>
        </w:rPr>
      </w:pPr>
      <w:r>
        <w:rPr>
          <w:rFonts w:cs="Arial" w:ascii="Arial" w:hAnsi="Arial"/>
        </w:rPr>
      </w:r>
    </w:p>
    <w:p>
      <w:pPr>
        <w:pStyle w:val="Level31"/>
        <w:numPr>
          <w:ilvl w:val="0"/>
          <w:numId w:val="0"/>
        </w:numPr>
        <w:ind w:hanging="0" w:start="2160" w:end="0"/>
        <w:jc w:val="both"/>
        <w:rPr>
          <w:rFonts w:ascii="Arial" w:hAnsi="Arial" w:cs="Arial"/>
        </w:rPr>
      </w:pPr>
      <w:r>
        <w:rPr>
          <w:rFonts w:cs="Arial" w:ascii="Arial" w:hAnsi="Arial"/>
        </w:rPr>
        <w:t>Notwithstanding the foregoing, (i) Sonat Energy shall not be excused for failure to carry out its obligations under this Agreement to the extent an event of Force Majeure affects or is related to facilities or equipment other than the Elba Island Facility and Sonat Energy's Related Facilities and (ii) Enron Americas shall not be excused for failure to carry out its obligations under this Agreement to the extent an event of Force Majeure affects or is related to facilities or equipment other than the LNG production facility in Venezuela owned by Enron Americas or an affiliate thereof (the "Venezuela Facilities") and Enron Americas' Related Facilities.</w:t>
      </w:r>
    </w:p>
    <w:p>
      <w:pPr>
        <w:pStyle w:val="Normal"/>
        <w:rPr>
          <w:rFonts w:ascii="Arial" w:hAnsi="Arial" w:cs="Arial"/>
        </w:rPr>
      </w:pPr>
      <w:r>
        <w:rPr>
          <w:rFonts w:cs="Arial" w:ascii="Arial" w:hAnsi="Arial"/>
        </w:rPr>
      </w:r>
    </w:p>
    <w:p>
      <w:pPr>
        <w:pStyle w:val="BodyTextIndent2"/>
        <w:rPr/>
      </w:pPr>
      <w:r>
        <w:rPr/>
        <w:t>"Sonat Energy's Related Facilities" shall mean the following facilities:</w:t>
      </w:r>
    </w:p>
    <w:p>
      <w:pPr>
        <w:pStyle w:val="Level11"/>
        <w:numPr>
          <w:ilvl w:val="0"/>
          <w:numId w:val="0"/>
        </w:numPr>
        <w:ind w:hanging="0" w:start="0"/>
        <w:jc w:val="both"/>
        <w:rPr>
          <w:rFonts w:ascii="Arial" w:hAnsi="Arial" w:cs="Arial"/>
          <w:lang w:eastAsia="en-CA"/>
        </w:rPr>
      </w:pPr>
      <w:r>
        <w:rPr>
          <w:rFonts w:cs="Arial" w:ascii="Arial" w:hAnsi="Arial"/>
          <w:lang w:eastAsia="en-CA"/>
        </w:rPr>
      </w:r>
    </w:p>
    <w:p>
      <w:pPr>
        <w:pStyle w:val="Normal"/>
        <w:numPr>
          <w:ilvl w:val="0"/>
          <w:numId w:val="9"/>
        </w:numPr>
        <w:ind w:hanging="720" w:start="2880" w:end="0"/>
        <w:jc w:val="both"/>
        <w:rPr>
          <w:rFonts w:ascii="Arial" w:hAnsi="Arial" w:cs="Arial"/>
          <w:sz w:val="24"/>
        </w:rPr>
      </w:pPr>
      <w:r>
        <w:rPr>
          <w:rFonts w:cs="Arial" w:ascii="Arial" w:hAnsi="Arial"/>
          <w:sz w:val="24"/>
        </w:rPr>
        <w:t>The 14" Savannah/Wrens 112 mile pipeline owned and operated by SNG;</w:t>
      </w:r>
    </w:p>
    <w:p>
      <w:pPr>
        <w:pStyle w:val="Normal"/>
        <w:numPr>
          <w:ilvl w:val="0"/>
          <w:numId w:val="9"/>
        </w:numPr>
        <w:ind w:hanging="720" w:start="2880" w:end="0"/>
        <w:jc w:val="both"/>
        <w:rPr>
          <w:rFonts w:ascii="Arial" w:hAnsi="Arial" w:cs="Arial"/>
          <w:sz w:val="24"/>
        </w:rPr>
      </w:pPr>
      <w:r>
        <w:rPr>
          <w:rFonts w:cs="Arial" w:ascii="Arial" w:hAnsi="Arial"/>
          <w:sz w:val="24"/>
        </w:rPr>
        <w:t>The 14" Savannah/Wrens 15.2 mile loop owned and operated by SNG;</w:t>
      </w:r>
    </w:p>
    <w:p>
      <w:pPr>
        <w:pStyle w:val="Normal"/>
        <w:numPr>
          <w:ilvl w:val="0"/>
          <w:numId w:val="9"/>
        </w:numPr>
        <w:ind w:hanging="720" w:start="2880" w:end="0"/>
        <w:jc w:val="both"/>
        <w:rPr>
          <w:rFonts w:ascii="Arial" w:hAnsi="Arial" w:cs="Arial"/>
          <w:sz w:val="24"/>
        </w:rPr>
      </w:pPr>
      <w:r>
        <w:rPr>
          <w:rFonts w:cs="Arial" w:ascii="Arial" w:hAnsi="Arial"/>
          <w:sz w:val="24"/>
        </w:rPr>
        <w:t>The 20" Savannah/Wrens 104.5 mile second loop owned and operated by SNG;</w:t>
      </w:r>
    </w:p>
    <w:p>
      <w:pPr>
        <w:pStyle w:val="Normal"/>
        <w:numPr>
          <w:ilvl w:val="0"/>
          <w:numId w:val="9"/>
        </w:numPr>
        <w:ind w:hanging="720" w:start="2880" w:end="0"/>
        <w:jc w:val="both"/>
        <w:rPr>
          <w:rFonts w:ascii="Arial" w:hAnsi="Arial" w:cs="Arial"/>
          <w:sz w:val="24"/>
        </w:rPr>
      </w:pPr>
      <w:r>
        <w:rPr>
          <w:rFonts w:cs="Arial" w:ascii="Arial" w:hAnsi="Arial"/>
          <w:sz w:val="24"/>
        </w:rPr>
        <w:t xml:space="preserve">The parallel 30" Elba/Savannah 13.2 mile pipelines owned and operated by SNG; </w:t>
      </w:r>
    </w:p>
    <w:p>
      <w:pPr>
        <w:pStyle w:val="Normal"/>
        <w:numPr>
          <w:ilvl w:val="0"/>
          <w:numId w:val="9"/>
        </w:numPr>
        <w:ind w:hanging="720" w:start="2880" w:end="0"/>
        <w:jc w:val="both"/>
        <w:rPr>
          <w:rFonts w:ascii="Arial" w:hAnsi="Arial" w:cs="Arial"/>
          <w:sz w:val="24"/>
        </w:rPr>
      </w:pPr>
      <w:r>
        <w:rPr>
          <w:rFonts w:cs="Arial" w:ascii="Arial" w:hAnsi="Arial"/>
          <w:sz w:val="24"/>
        </w:rPr>
        <w:t>The compressor station located at Wrens, Georgia owned and operated by SNG; and</w:t>
      </w:r>
    </w:p>
    <w:p>
      <w:pPr>
        <w:pStyle w:val="Normal"/>
        <w:numPr>
          <w:ilvl w:val="0"/>
          <w:numId w:val="9"/>
        </w:numPr>
        <w:ind w:hanging="720" w:start="2880" w:end="0"/>
        <w:jc w:val="both"/>
        <w:rPr>
          <w:sz w:val="24"/>
        </w:rPr>
      </w:pPr>
      <w:r>
        <w:rPr>
          <w:rFonts w:cs="Arial" w:ascii="Arial" w:hAnsi="Arial"/>
          <w:sz w:val="24"/>
        </w:rPr>
        <w:t>All electric power transmission facilities and other utility facilities necessary for the operation of the Elba Island Facility.</w:t>
      </w:r>
    </w:p>
    <w:p>
      <w:pPr>
        <w:pStyle w:val="Normal"/>
        <w:jc w:val="both"/>
        <w:rPr>
          <w:rFonts w:ascii="Arial" w:hAnsi="Arial" w:cs="Arial"/>
          <w:sz w:val="24"/>
        </w:rPr>
      </w:pPr>
      <w:r>
        <w:rPr>
          <w:rFonts w:cs="Arial" w:ascii="Arial" w:hAnsi="Arial"/>
          <w:sz w:val="24"/>
        </w:rPr>
      </w:r>
    </w:p>
    <w:p>
      <w:pPr>
        <w:pStyle w:val="BodyTextIndent2"/>
        <w:rPr/>
      </w:pPr>
      <w:r>
        <w:rPr/>
        <w:t>"Enron Americas' Related Facilities" shall mean the following facilities:</w:t>
      </w:r>
    </w:p>
    <w:p>
      <w:pPr>
        <w:pStyle w:val="Normal"/>
        <w:jc w:val="both"/>
        <w:rPr>
          <w:rFonts w:ascii="Arial" w:hAnsi="Arial" w:cs="Arial"/>
          <w:sz w:val="24"/>
        </w:rPr>
      </w:pPr>
      <w:r>
        <w:rPr>
          <w:rFonts w:cs="Arial" w:ascii="Arial" w:hAnsi="Arial"/>
          <w:sz w:val="24"/>
        </w:rPr>
      </w:r>
    </w:p>
    <w:p>
      <w:pPr>
        <w:pStyle w:val="Normal"/>
        <w:numPr>
          <w:ilvl w:val="0"/>
          <w:numId w:val="8"/>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 xml:space="preserve">Gas field production facilities used to furnish gas to the Venezuela Facilities; </w:t>
      </w:r>
    </w:p>
    <w:p>
      <w:pPr>
        <w:pStyle w:val="Normal"/>
        <w:numPr>
          <w:ilvl w:val="0"/>
          <w:numId w:val="8"/>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The natural gas pipeline facilities serving the Venezuela Facilities;</w:t>
      </w:r>
    </w:p>
    <w:p>
      <w:pPr>
        <w:pStyle w:val="Normal"/>
        <w:numPr>
          <w:ilvl w:val="0"/>
          <w:numId w:val="8"/>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Purchased utilities at the Venezuela Facilities (water, power, etc.);</w:t>
      </w:r>
    </w:p>
    <w:p>
      <w:pPr>
        <w:pStyle w:val="Normal"/>
        <w:numPr>
          <w:ilvl w:val="0"/>
          <w:numId w:val="8"/>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The LNG Tankers utilized by Enron Americas to deliver LNG from the Venezuela Facilities to the Elba Island Facility; and</w:t>
      </w:r>
    </w:p>
    <w:p>
      <w:pPr>
        <w:pStyle w:val="Normal"/>
        <w:numPr>
          <w:ilvl w:val="0"/>
          <w:numId w:val="8"/>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The dock and harbor facilities serving the Venezuela Facilities.</w:t>
      </w:r>
    </w:p>
    <w:p>
      <w:pPr>
        <w:pStyle w:val="Normal"/>
        <w:jc w:val="both"/>
        <w:rPr>
          <w:rFonts w:ascii="Arial" w:hAnsi="Arial" w:cs="Arial"/>
          <w:sz w:val="24"/>
        </w:rPr>
      </w:pPr>
      <w:r>
        <w:rPr>
          <w:rFonts w:cs="Arial" w:ascii="Arial" w:hAnsi="Arial"/>
          <w:sz w:val="24"/>
        </w:rPr>
      </w:r>
    </w:p>
    <w:p>
      <w:pPr>
        <w:pStyle w:val="BodyTextIndent2"/>
        <w:rPr/>
      </w:pPr>
      <w:r>
        <w:rPr/>
        <w:t>While not an exclusive list, Force Majeure shall not include any of the following:</w:t>
      </w:r>
    </w:p>
    <w:p>
      <w:pPr>
        <w:pStyle w:val="Normal"/>
        <w:jc w:val="both"/>
        <w:rPr>
          <w:rFonts w:ascii="Arial" w:hAnsi="Arial" w:cs="Arial"/>
          <w:sz w:val="24"/>
        </w:rPr>
      </w:pPr>
      <w:r>
        <w:rPr>
          <w:rFonts w:cs="Arial" w:ascii="Arial" w:hAnsi="Arial"/>
          <w:sz w:val="24"/>
        </w:rPr>
      </w:r>
    </w:p>
    <w:p>
      <w:pPr>
        <w:pStyle w:val="Normal"/>
        <w:numPr>
          <w:ilvl w:val="0"/>
          <w:numId w:val="5"/>
        </w:numPr>
        <w:tabs>
          <w:tab w:val="clear" w:pos="720"/>
          <w:tab w:val="left" w:pos="1440" w:leader="none"/>
          <w:tab w:val="left" w:pos="2160" w:leader="none"/>
          <w:tab w:val="left" w:pos="3600" w:leader="none"/>
        </w:tabs>
        <w:jc w:val="both"/>
        <w:rPr>
          <w:rFonts w:ascii="Arial" w:hAnsi="Arial" w:cs="Arial"/>
          <w:sz w:val="24"/>
        </w:rPr>
      </w:pPr>
      <w:r>
        <w:rPr>
          <w:rFonts w:cs="Arial" w:ascii="Arial" w:hAnsi="Arial"/>
          <w:sz w:val="24"/>
        </w:rPr>
        <w:t>any failure by any natural gas customer of Sonat Energy to take natural gas;</w:t>
      </w:r>
    </w:p>
    <w:p>
      <w:pPr>
        <w:pStyle w:val="Normal"/>
        <w:tabs>
          <w:tab w:val="clear" w:pos="720"/>
          <w:tab w:val="left" w:pos="1440" w:leader="none"/>
          <w:tab w:val="left" w:pos="2160" w:leader="none"/>
          <w:tab w:val="left" w:pos="2880" w:leader="none"/>
          <w:tab w:val="left" w:pos="3600" w:leader="none"/>
        </w:tabs>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any failure by any natural gas or LNG supplier of Enron Americas to supply natural gas or LNG, except to the extent such failure was caused by an event of Force Majeure (as defined herein) affecting such supplier;</w:t>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the availability to Sonat Energy of lower prices for LNG from other suppliers of LNG; and</w:t>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the availability to Enron Americas of higher prices for Enron Americas' LNG from other purchasers of LNG.</w:t>
      </w:r>
    </w:p>
    <w:p>
      <w:pPr>
        <w:pStyle w:val="Normal"/>
        <w:jc w:val="both"/>
        <w:rPr>
          <w:rFonts w:ascii="Arial" w:hAnsi="Arial" w:cs="Arial"/>
          <w:sz w:val="24"/>
        </w:rPr>
      </w:pPr>
      <w:r>
        <w:rPr>
          <w:rFonts w:cs="Arial" w:ascii="Arial" w:hAnsi="Arial"/>
          <w:sz w:val="24"/>
        </w:rPr>
      </w:r>
    </w:p>
    <w:p>
      <w:pPr>
        <w:pStyle w:val="BodyTextIndent2"/>
        <w:rPr/>
      </w:pPr>
      <w:r>
        <w:rPr/>
        <w:t>Notwithstanding the foregoing, Force Majeure shall include, but not be limited to, the following events and circumstances to the extent that such interfere with a Party's performance hereunder:</w:t>
      </w:r>
    </w:p>
    <w:p>
      <w:pPr>
        <w:pStyle w:val="Normal"/>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fire, flood, atmospheric disturbance, lightning, storm, typhoon, tornado, earthquake, landslide, soil erosion, subsidence, washout, epidemic or other acts of God;</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strike, lockout or other industrial disturbance;</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loss of, damage to or failure of such Party's facilities or any assets used with or useful to receiving or producing LNG at such facility, to the extent such event is not within the reasonable control of such Party;</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delay in completion and testing of any stage of construction or refurbishment of such Party's facilities or any asset used or useful to receiving or producing LNG at such facility so as to prevent or delay the same from becoming operational on a continuing basis, to the extent such delay is not within the reasonable control of such Party;</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acts of a governmental entity or agency, or national, port or other local authority (including the U.S. Coast Guard) having jurisdiction, including, but not limited to, the issuance or promulgation of any court order, law, statute, ordinance, rule, regulation or directive, the effect of which would prevent, delay or make unlawful a Party’s performance hereunder, or would require such Party, in order to comply with such act, to take measures which are unreasonable in the circumstances;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with respect to Enron Americas, damage to, or loss or failure of, an LNG Tanker or inability of an LNG Tanker to reach or to clear berth if such event is not within the reasonable control of Enron Americas, its affiliates or the owner or operator of such LNG Tanker; and</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with respect to Enron Americas, damage to, or loss or failure of, (x) natural gas reservoirs in Venezuela (other than through natural depletion by production), (y) production facilities from which reserves of natural gas are produced from such reservoirs to supply the Venezuela Facilities, or (z) the Venezuela Facilities if such event (x) through (z) is not within the reasonable control of Enron Americas, its affiliates or the owner or operator of such reservoirs or facilities;</w:t>
      </w:r>
    </w:p>
    <w:p>
      <w:pPr>
        <w:pStyle w:val="Normal"/>
        <w:jc w:val="both"/>
        <w:rPr>
          <w:rFonts w:ascii="Arial" w:hAnsi="Arial" w:cs="Arial"/>
          <w:sz w:val="24"/>
        </w:rPr>
      </w:pPr>
      <w:r>
        <w:rPr>
          <w:rFonts w:cs="Arial" w:ascii="Arial" w:hAnsi="Arial"/>
          <w:sz w:val="24"/>
        </w:rPr>
      </w:r>
    </w:p>
    <w:p>
      <w:pPr>
        <w:pStyle w:val="Normal"/>
        <w:ind w:hanging="2160" w:start="2160" w:end="0"/>
        <w:jc w:val="both"/>
        <w:rPr/>
      </w:pPr>
      <w:r>
        <w:rPr/>
        <w:tab/>
      </w:r>
      <w:r>
        <w:rPr>
          <w:rFonts w:cs="Arial" w:ascii="Arial" w:hAnsi="Arial"/>
          <w:sz w:val="24"/>
        </w:rPr>
        <w:t>Nothing herein  shall be construed to relieve a Party of its obligation to pay sums of money due or that may become due under this Agreement.  Notwithstanding any provision herein to the contrary, in the event of a Force Majeure declared by either Sonat Energy or Enron Americas, Enron Americas shall be obligated to pay the Terminalling Costs during such event of Force Majeure.</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The Definitive Agreement shall provide for the adjustment of the ACQ based on the occurrence of event(s) of Force Majeure.  In the event that for whatever reason the capacity of the Elba Island Facility is reduced below 140 Bcf annually (or the daily equivalent thereof) (other than an event of force majeure solely affecting Enron Americas), Sonat Energy shall first reduce its delivery commitments from LNG suppliers other than the suppliers of the Enron Americas and DQ (including quantities delivered under both sale and purchase arrangements and service/storage arrangements) and in the event that further reductions are necessary (and only to the extent of such necessity) Sonat Energy shall allocate the available capacity to Enron Americas and the suppliers of DQ on a pro-rata basis (i.e., 41%/59%, respectively), and such reductions shall reduce the ACQ during the period of force majeure. Provided that Sonat Energy has curtailed its LNG purchases from its various suppliers in accordance with these provisions, Sonat Energy shall have no obligation to take, nor any liability for any failure to take, LNG volumes based on the unavailability of capacity at the Elba Island Facility.</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If an event of Force Majeure results in substantial nonperformance by Sonat Energy for a continuous thirty-six (36) month period, then Enron Americas shall be entitled thereafter to terminate this Agreement at any time prior to the date that Sonat Energy has resumed its performance hereunder upon thirty (30) days notice by Enron Americas to Sonat Energy; provided, however, that such termination right shall cease if, prior to the expiration of the thirty (30) day notice period, Sonat Energy has waived in writing further Force Majeure defenses with respect to the events that have caused such nonperformance.  Upon such termination, neither Party shall have any continuing obligations or liability under this Agreement (except to pay amounts that are owed as a result of performance or non-performance occurring prior to such termination).</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The Definitive Agreement shall contain standard notification provisions in the event a Party experiences an event of Force Majeure, and the non-affected Party shall be entitled to make alternative arrangements to mitigate the impact of such Force Majeure.  The Parties shall exercise reasonable diligence to ensure resumption of normal performance under this Agreement after the occurrence of any event of Force Majeure, and, prior to resumption of normal performance, the Parties shall continue to perform their obligations under this Agreement to the extent not affected by such event of Force Majeure.</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Performance</w:t>
      </w:r>
    </w:p>
    <w:p>
      <w:pPr>
        <w:pStyle w:val="BodyTextIndent"/>
        <w:rPr>
          <w:sz w:val="24"/>
        </w:rPr>
      </w:pPr>
      <w:r>
        <w:rPr>
          <w:sz w:val="24"/>
        </w:rPr>
        <w:t>Requirements:</w:t>
        <w:tab/>
        <w:t>Sonat Energy shall cause SLNG to act as a Reasonable and Prudent Operator with respect to all matters where SLNG's performance is necessary for the performance of Sonat Energy under this Agreement, including but not limited to:</w:t>
      </w:r>
    </w:p>
    <w:p>
      <w:pPr>
        <w:pStyle w:val="Normal"/>
        <w:ind w:hanging="2160" w:start="2160" w:end="0"/>
        <w:rPr>
          <w:rFonts w:ascii="Arial" w:hAnsi="Arial" w:cs="Arial"/>
          <w:sz w:val="24"/>
        </w:rPr>
      </w:pPr>
      <w:r>
        <w:rPr>
          <w:rFonts w:cs="Arial" w:ascii="Arial" w:hAnsi="Arial"/>
          <w:sz w:val="24"/>
        </w:rPr>
      </w:r>
    </w:p>
    <w:p>
      <w:pPr>
        <w:pStyle w:val="Normal"/>
        <w:numPr>
          <w:ilvl w:val="0"/>
          <w:numId w:val="12"/>
        </w:numPr>
        <w:rPr>
          <w:rFonts w:ascii="Arial" w:hAnsi="Arial" w:cs="Arial"/>
          <w:sz w:val="24"/>
        </w:rPr>
      </w:pPr>
      <w:r>
        <w:rPr>
          <w:rFonts w:cs="Arial" w:ascii="Arial" w:hAnsi="Arial"/>
          <w:sz w:val="24"/>
        </w:rPr>
        <w:t>Pursuing the Application and the issuance of the Certificate by FERC and any additional applications and certificates that may be required to complete the modifications to the Elba Island Facility required by the Quality Letter Agreement;</w:t>
      </w:r>
    </w:p>
    <w:p>
      <w:pPr>
        <w:pStyle w:val="Normal"/>
        <w:numPr>
          <w:ilvl w:val="0"/>
          <w:numId w:val="12"/>
        </w:numPr>
        <w:rPr>
          <w:rFonts w:ascii="Arial" w:hAnsi="Arial" w:cs="Arial"/>
          <w:sz w:val="24"/>
        </w:rPr>
      </w:pPr>
      <w:r>
        <w:rPr>
          <w:rFonts w:cs="Arial" w:ascii="Arial" w:hAnsi="Arial"/>
          <w:sz w:val="24"/>
        </w:rPr>
        <w:t>Pursuing and maintaining all permits, authorizations and approvals that are necessary for SLNG to operate the Elba Island Facility pursuant to SLNG's FERC Gas Tariff;</w:t>
      </w:r>
    </w:p>
    <w:p>
      <w:pPr>
        <w:pStyle w:val="Normal"/>
        <w:numPr>
          <w:ilvl w:val="0"/>
          <w:numId w:val="12"/>
        </w:numPr>
        <w:rPr>
          <w:rFonts w:ascii="Arial" w:hAnsi="Arial" w:cs="Arial"/>
          <w:sz w:val="24"/>
        </w:rPr>
      </w:pPr>
      <w:r>
        <w:rPr>
          <w:rFonts w:cs="Arial" w:ascii="Arial" w:hAnsi="Arial"/>
          <w:sz w:val="24"/>
        </w:rPr>
        <w:t>Subject to the receipt of all approvals, carrying out its construction activities and otherwise implementing the refurbishment and modification process in a timely manner and on a cost-efficient basis taking into consideration SLNG's service obligations and the requirements of long-term reliability; and</w:t>
      </w:r>
    </w:p>
    <w:p>
      <w:pPr>
        <w:pStyle w:val="Normal"/>
        <w:numPr>
          <w:ilvl w:val="0"/>
          <w:numId w:val="12"/>
        </w:numPr>
        <w:rPr>
          <w:rFonts w:ascii="Arial" w:hAnsi="Arial" w:cs="Arial"/>
          <w:sz w:val="24"/>
        </w:rPr>
      </w:pPr>
      <w:r>
        <w:rPr>
          <w:rFonts w:cs="Arial" w:ascii="Arial" w:hAnsi="Arial"/>
          <w:sz w:val="24"/>
        </w:rPr>
        <w:t>Operating the Elba Island Facility on a cost-efficient basis (taking into consideration SLNG's service obligations and the requirements of long-term reliability) and in a reliable manner and exercising commercially reasonable efforts to remedy any damage to, breakdown of, or other reason for the failure of the Elba Island Facility for any reason.</w:t>
      </w:r>
    </w:p>
    <w:p>
      <w:pPr>
        <w:pStyle w:val="Normal"/>
        <w:ind w:hanging="2160"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t>The Parties agree that the ACQ shall be determined (as provided in "Determination of Capacity") and the Annual Program on the assumption that these performance requirements have been and will be met and that any damages arising as a result of a failure to meet the above requirements will be limited to the obligation of Sonat Energy (i) to take and pay for, or pay for if not taken, any cargoes that could not be delivered as a result of such failure and (ii) to pay damages for failure to deliver to Enron Americas, at the daily rate set forth in the Redelivery Notice, the Delivered Volume  of the Redelivery Quantities.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Covenants and</w:t>
      </w:r>
    </w:p>
    <w:p>
      <w:pPr>
        <w:pStyle w:val="Normal"/>
        <w:ind w:hanging="2160" w:start="2160" w:end="0"/>
        <w:jc w:val="both"/>
        <w:rPr>
          <w:rFonts w:ascii="Arial" w:hAnsi="Arial" w:cs="Arial"/>
          <w:sz w:val="24"/>
        </w:rPr>
      </w:pPr>
      <w:r>
        <w:rPr>
          <w:rFonts w:cs="Arial" w:ascii="Arial" w:hAnsi="Arial"/>
          <w:sz w:val="24"/>
        </w:rPr>
        <w:t>Representations:</w:t>
        <w:tab/>
        <w:t>Enron Americas represents and warrants that it shall have good and marketable title to the LNG sold under this Agreement.  Each Party covenants that, in the event of any breach, default or other failure by the other Party under this Agreement, the non-defaulting Party will take commercially reasonable steps to mitigate the damages suffered by such non-defaulting Party as a result of such breach, default or other failure.</w:t>
      </w:r>
    </w:p>
    <w:p>
      <w:pPr>
        <w:pStyle w:val="Normal"/>
        <w:jc w:val="both"/>
        <w:rPr>
          <w:rFonts w:ascii="Arial" w:hAnsi="Arial" w:cs="Arial"/>
          <w:sz w:val="24"/>
        </w:rPr>
      </w:pPr>
      <w:r>
        <w:rPr>
          <w:rFonts w:cs="Arial" w:ascii="Arial" w:hAnsi="Arial"/>
          <w:sz w:val="24"/>
        </w:rPr>
      </w:r>
    </w:p>
    <w:p>
      <w:pPr>
        <w:pStyle w:val="BodyTextIndent3"/>
        <w:jc w:val="both"/>
        <w:rPr/>
      </w:pPr>
      <w:r>
        <w:rPr/>
        <w:t>Approvals:</w:t>
        <w:tab/>
        <w:t>The Parties’ obligations to one another in connection with this transaction shall be conditioned upon the receipt and acceptance on terms acceptable to the receiving Party in its sole judgment of all United States regulatory approvals and permits required in connection with this transaction, including without limitation, any approvals or permits which are required by SLNG for reactivation of the Elba Island Facility.   If all approvals necessary for the reactivation of the Elba Island Facility have not been obtained by the Sunset Date, as defined below, either Party may terminate this Agreement on thirty (30) days written notice to the other Party and neither Party shall have any continuing obligations or liability under this Agreement (except to pay amounts, if any, that are owed as a result of performance or non-performance occurring prior to such termination).  The "Sunset Date" shall be a date agreed upon by the Parties in the Definitive Agreement; provided, however, that unless both Parties agree otherwise, such date must be between October 1, 2001 and April 1, 2002.</w:t>
      </w:r>
    </w:p>
    <w:p>
      <w:pPr>
        <w:pStyle w:val="BodyTextIndent3"/>
        <w:jc w:val="both"/>
        <w:rPr/>
      </w:pPr>
      <w:r>
        <w:rPr/>
      </w:r>
    </w:p>
    <w:p>
      <w:pPr>
        <w:pStyle w:val="Normal"/>
        <w:ind w:hanging="2160" w:start="2160" w:end="0"/>
        <w:jc w:val="both"/>
        <w:rPr>
          <w:rFonts w:ascii="Arial" w:hAnsi="Arial" w:cs="Arial"/>
          <w:sz w:val="24"/>
        </w:rPr>
      </w:pPr>
      <w:r>
        <w:rPr>
          <w:rFonts w:cs="Arial" w:ascii="Arial" w:hAnsi="Arial"/>
          <w:sz w:val="24"/>
        </w:rPr>
        <w:t>Security:</w:t>
        <w:tab/>
        <w:t>No later than the date of execution of the Definitive Agreement, each Party shall deliver to the other Party a guarantee by its ultimate parent guaranteeing the obligations of the Party delivering the guarantee.   In the event either Party fails to deliver such guarantee pursuant to this paragraph, the other Party shall have, in addition to all other rights and remedies available at law, the right to terminate this Agreement.</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Indemnity:</w:t>
        <w:tab/>
        <w:t>To the fullest extent permissible by law, Enron Americas agrees (regardless of the presence or absence of insurance) to indemnify, defend and hold Sonat Energy and its affiliates, contractors, subcontractors, agents and employees (the "Sonat Energy Indemnified Parties") harmless from and against any and all claims, losses, demands, damages, costs and expenses (collectively "Claims") relating to any of (i) the property, facilities or other assets of Enron Americas or any of the Enron Americas Indemnified Parties (as defined below), or (ii) the employees, contractors, subcontractors, agents or employees of Enron Americas or any of the Enron Americas Indemnified Parties, regardless of whether such Claims arise from or relate to any act or incident involving Sonat Energy or any of the Sonat Energy Indemnified Parties.  To the fullest extent permissible by law, Sonat Energy agrees (regardless of the presence or absence of insurance) to indemnify, defend, and hold Enron Americas or its affiliates, contractors, subcontractors, agents and employees (the "Enron Americas Indemnified Parties") harmless from and against any and all Claims relating to any of (i) the property, facilities or other assets of Sonat Energy or any of the Sonat Energy Indemnified Parties, or (ii) the employees, contractors, subcontractors, agent or employees of Sonat Energy or any of the Sonat Energy Indemnified Parties, regardless of whether such Claims arise from or relate to any act or incident involving Enron Americas or any of the Enron Americas Indemnified Parties.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b/>
        <w:t>Sonat Energy shall indemnify and hold harmless Enron Americas and each of its affiliates from and against any damages resulting from or related to claims made by any third parties (other than affiliates of Enron Americas) related to or arising out of any conflict between Sonat Energy's obligations under this Agreement and Sonat Energy obligations under any other LNG sales agreement or arrangement n Sonat Energy and such third party.</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Default:</w:t>
        <w:tab/>
        <w:t>In the event that either Party fails to pay when due an amount in excess of $20 million in total (the "Total Accrued Default Payment Obligations") (the Party having incurred such Total Accrued Default Payment Obligations being the "Defaulting Party") and such Total Accrued Default Payment Obligations are not being disputed by the Defaulting Party, then the other Party (the "Non-Defaulting Party") may give notice of its intent to cancel this Agreement.  If the Defaulting Party fails to pay in full the Total Accrued Default Payment Obligations (payment in full being a "Cure"), or if an owner or lender of the Defaulting Party does not Cure within ninety (90) days of the above notice, the Non-Defaulting Party may, at its sole option, terminate this Agreement by written notice to the Defaulting Party.  Termination of this Agreement shall be without prejudice to any other rights and remedies the Non-Defaulting Party has available to it.   The Definitive Agreement shall include additional events of default.</w:t>
      </w:r>
    </w:p>
    <w:p>
      <w:pPr>
        <w:pStyle w:val="Normal"/>
        <w:ind w:hanging="2160" w:start="2160" w:end="0"/>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Limitation</w:t>
      </w:r>
    </w:p>
    <w:p>
      <w:pPr>
        <w:pStyle w:val="Normal"/>
        <w:ind w:hanging="2160" w:start="2160" w:end="0"/>
        <w:jc w:val="both"/>
        <w:rPr>
          <w:rFonts w:ascii="Arial" w:hAnsi="Arial" w:cs="Arial"/>
          <w:b/>
          <w:sz w:val="24"/>
        </w:rPr>
      </w:pPr>
      <w:r>
        <w:rPr>
          <w:rFonts w:cs="Arial" w:ascii="Arial" w:hAnsi="Arial"/>
          <w:b/>
          <w:sz w:val="24"/>
        </w:rPr>
        <w:t>Of Remedies:</w:t>
        <w:tab/>
        <w:t>NEITHER SONAT ENERGY NOR ENRON AMERICAS SHALL BE LIABLE FOR SPECIFIC PERFORMANCE, PUNITIVE, CONSEQUENTIAL, EXEMPLARY OR INDIRECT DAMAGES, IN TORT, CONTRACT OR OTHERWISE, OF ANY KIND, ARISING OUT OF OR IN ANY WAY CONNECTED WITH THE PERFORMANCE, THE SUSPENSION OF PERFORMANCE, THE FAILURE TO PERFORM, OR THE TERMINATION OF THIS AGREEMENT; PROVIDED, HOWEVER THAT THIS CLAUSE SHALL NOT BE CONSTRUED TO LIMIT EITHER PARTY’S OBLIGATIONS TO INDEMNIFY THE OTHER PARTY OR THE EXPRESS DAMAGE PAYMENT OBLIGATIONS AS SET FORTH HEREIN.</w:t>
      </w:r>
    </w:p>
    <w:p>
      <w:pPr>
        <w:pStyle w:val="Normal"/>
        <w:ind w:hanging="2160" w:start="2160" w:end="0"/>
        <w:jc w:val="both"/>
        <w:rPr>
          <w:rFonts w:ascii="Arial" w:hAnsi="Arial" w:cs="Arial"/>
          <w:b/>
          <w:sz w:val="24"/>
        </w:rPr>
      </w:pPr>
      <w:r>
        <w:rPr>
          <w:rFonts w:cs="Arial" w:ascii="Arial" w:hAnsi="Arial"/>
          <w:b/>
          <w:sz w:val="24"/>
        </w:rPr>
      </w:r>
    </w:p>
    <w:p>
      <w:pPr>
        <w:pStyle w:val="Normal"/>
        <w:ind w:hanging="2160" w:start="2160" w:end="0"/>
        <w:jc w:val="both"/>
        <w:rPr>
          <w:rFonts w:ascii="Arial" w:hAnsi="Arial" w:cs="Arial"/>
          <w:b/>
          <w:sz w:val="24"/>
        </w:rPr>
      </w:pPr>
      <w:r>
        <w:rPr>
          <w:rFonts w:cs="Arial" w:ascii="Arial" w:hAnsi="Arial"/>
          <w:sz w:val="24"/>
        </w:rPr>
        <w:t>Confidentiality</w:t>
      </w:r>
      <w:r>
        <w:rPr/>
        <w:t>:</w:t>
        <w:tab/>
      </w:r>
      <w:r>
        <w:rPr>
          <w:rFonts w:cs="Arial" w:ascii="Arial" w:hAnsi="Arial"/>
          <w:sz w:val="24"/>
        </w:rPr>
        <w:t>Except as provided herein, information or documents which come into the possession of one Party from the other Party in connection with the negotiation or performance of this Agreement, including this Agreement or any summary or description thereof, may not be communicated or otherwise disclosed to third parties.  However, either Party shall have the right to disclose such information or documents to: (i) its direct or indirect shareholders; (ii) legal counsel, accountants, other professional consultants for either Party or to the parents or owners of a Party; (iii) providers or prospective providers of finance; (iv) if required by any order of court or any law, rule, regulation, or directive of any government agency with jurisdiction over a Party; or (v) to the extent such information or document has entered the public domain other than through the fault or negligence of the Party making the disclosure.</w:t>
      </w:r>
    </w:p>
    <w:p>
      <w:pPr>
        <w:pStyle w:val="Normal"/>
        <w:ind w:hanging="2160" w:start="2160" w:end="0"/>
        <w:jc w:val="both"/>
        <w:rPr>
          <w:rFonts w:ascii="Arial" w:hAnsi="Arial" w:cs="Arial"/>
          <w:b/>
          <w:sz w:val="24"/>
        </w:rPr>
      </w:pPr>
      <w:r>
        <w:rPr>
          <w:rFonts w:cs="Arial" w:ascii="Arial" w:hAnsi="Arial"/>
          <w:b/>
          <w:sz w:val="24"/>
        </w:rPr>
      </w:r>
    </w:p>
    <w:p>
      <w:pPr>
        <w:pStyle w:val="Normal"/>
        <w:ind w:hanging="2160" w:start="2160" w:end="0"/>
        <w:jc w:val="both"/>
        <w:rPr>
          <w:rFonts w:ascii="Arial" w:hAnsi="Arial" w:cs="Arial"/>
          <w:sz w:val="24"/>
        </w:rPr>
      </w:pPr>
      <w:r>
        <w:rPr>
          <w:rFonts w:cs="Arial" w:ascii="Arial" w:hAnsi="Arial"/>
          <w:sz w:val="24"/>
        </w:rPr>
        <w:t>Governing Law:</w:t>
        <w:tab/>
        <w:t>New York law, including the New York Uniform Commercial Code (but excluding any conflict of laws rules or principles, other than Section 5-1401 of the General Obligations Law).  The United Nations Convention on Contracts for the International Sale of Goods (the Vienna Sales Convention) shall be specifically excluded.</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Dispute Resolution:</w:t>
        <w:tab/>
        <w:t>Any disputes arising out of or in connection with this Agreement that cannot be resolved in good faith between Sonat Energy and Enron Americas, other than those which the Parties agree to refer to an expert for resolution, shall be settled by final and binding arbitration before three (3) arbitrators in accordance with the Commercial Arbitration Rules of the American Arbitration Association as in force at the time such arbitration is commenced.  Any arbitration shall take place in New York, New York, and the language of any arbitration proceedings shall be English.  Sonat Energy shall have the right to consolidate any arbitration proceeding under this Agreement with proceedings involving the DQ suppliers if both such proceedings are related to the same set of facts and circumstances.</w:t>
      </w:r>
    </w:p>
    <w:p>
      <w:pPr>
        <w:pStyle w:val="Normal"/>
        <w:jc w:val="both"/>
        <w:rPr>
          <w:rFonts w:ascii="Arial" w:hAnsi="Arial" w:cs="Arial"/>
          <w:sz w:val="24"/>
        </w:rPr>
      </w:pPr>
      <w:r>
        <w:rPr>
          <w:rFonts w:cs="Arial" w:ascii="Arial" w:hAnsi="Arial"/>
          <w:sz w:val="24"/>
        </w:rPr>
      </w:r>
    </w:p>
    <w:p>
      <w:pPr>
        <w:pStyle w:val="Normal"/>
        <w:keepNext w:val="true"/>
        <w:keepLines/>
        <w:ind w:hanging="2160" w:start="2160" w:end="0"/>
        <w:jc w:val="both"/>
        <w:rPr>
          <w:rFonts w:ascii="Arial" w:hAnsi="Arial" w:cs="Arial"/>
          <w:sz w:val="24"/>
        </w:rPr>
      </w:pPr>
      <w:r>
        <w:rPr>
          <w:rFonts w:cs="Arial" w:ascii="Arial" w:hAnsi="Arial"/>
          <w:sz w:val="24"/>
        </w:rPr>
        <w:t>Compliance with</w:t>
      </w:r>
    </w:p>
    <w:p>
      <w:pPr>
        <w:pStyle w:val="Normal"/>
        <w:keepNext w:val="true"/>
        <w:keepLines/>
        <w:ind w:hanging="2160" w:start="2160" w:end="0"/>
        <w:jc w:val="both"/>
        <w:rPr>
          <w:rFonts w:ascii="Arial" w:hAnsi="Arial" w:cs="Arial"/>
          <w:sz w:val="24"/>
        </w:rPr>
      </w:pPr>
      <w:r>
        <w:rPr>
          <w:rFonts w:cs="Arial" w:ascii="Arial" w:hAnsi="Arial"/>
          <w:sz w:val="24"/>
        </w:rPr>
        <w:t>Laws:</w:t>
        <w:tab/>
        <w:t>Each Party shall, in the performance of this Agreement, comply with all applicable laws, treaties, statutes, rules, regulations, decrees, ordinances, licenses, permits, compliance requirements, decisions, orders, directives, and agreements of, and/or concessions and arrangements with, any governmental authority  in effect on the date this Agreement was entered into, and as they may be amended from time to time, including, but not limited to, SLNG's FERC Gas Tariff and the Foreign Corrupt Practices Act of 1977, as amended ("Laws").  Notwithstanding anything to the contrary, this Agreement shall not be interpreted or applied so as to require either Party to do, or to refrain from doing, anything that would constitute a violation of any Laws.</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Assignment:</w:t>
        <w:tab/>
        <w:t>Neither Party shall assign any of its rights or obligations under this Agreement without the prior written consent of the other Party, which consent shall not be unreasonably withheld; provided, however, that (i) Enron Americas may collaterally assign this Agreement to its lenders in connection with Enron Americas' procurement of financing, and (ii) either Party may assign its rights and obligations under this Agreement to any affiliate of such Party after providing written notice to the other Party of such assignment.  No assignment, whether with or without consent or pursuant to this clause, shall relieve either the assigning Party or its guarantor of any of the obligations hereunder.</w:t>
      </w:r>
    </w:p>
    <w:p>
      <w:pPr>
        <w:pStyle w:val="Normal"/>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Measurements</w:t>
      </w:r>
    </w:p>
    <w:p>
      <w:pPr>
        <w:pStyle w:val="Normal"/>
        <w:ind w:hanging="2160" w:start="2160" w:end="0"/>
        <w:jc w:val="both"/>
        <w:rPr>
          <w:rFonts w:ascii="Arial" w:hAnsi="Arial" w:cs="Arial"/>
          <w:sz w:val="24"/>
        </w:rPr>
      </w:pPr>
      <w:r>
        <w:rPr>
          <w:rFonts w:cs="Arial" w:ascii="Arial" w:hAnsi="Arial"/>
          <w:sz w:val="24"/>
        </w:rPr>
        <w:t>And Tests:</w:t>
        <w:tab/>
        <w:t>Subject to the terms of SLNG's FERC Gas Tariff, Enron Americas and Sonat Energy shall supply, operate and maintain, or cause to be supplied, operated and maintained, such suitable devices for gauging, sampling and measuring density, pressure, temperature, and quality of LNG as are customarily incorporated in the structure or maintained on LNG tankers and ports, land structures and receiving facilities for LNG.  Such devices, the required degree of accuracy and calibration, and the methods and criteria for performance evaluation and verification of such devices shall be chosen in advance of their use in accordance with industry standards and as mutually agreed by the Parties.  Rights of inspection, calibrating, and error adjustments, the settlement of disputes and the handling of costs and expenses related to the foregoing shall be handled in accordance with industry practices and as mutually agreed by the Parties and as more fully set forth in the Definitive Agreement.</w:t>
      </w:r>
    </w:p>
    <w:p>
      <w:pPr>
        <w:pStyle w:val="Normal"/>
        <w:jc w:val="both"/>
        <w:rPr>
          <w:rFonts w:ascii="Arial" w:hAnsi="Arial" w:cs="Arial"/>
          <w:sz w:val="24"/>
        </w:rPr>
      </w:pPr>
      <w:r>
        <w:rPr>
          <w:rFonts w:cs="Arial" w:ascii="Arial" w:hAnsi="Arial"/>
          <w:sz w:val="24"/>
        </w:rPr>
      </w:r>
    </w:p>
    <w:p>
      <w:pPr>
        <w:pStyle w:val="BodyTextIndent3"/>
        <w:rPr/>
      </w:pPr>
      <w:r>
        <w:rPr/>
        <w:t xml:space="preserve">Other Terms: </w:t>
        <w:tab/>
        <w:t>This Agreement does not contain an exhaustive list of terms to be agreed in relation to the purchase and sale of LNG and further terms to be set forth in the Definitive Agreement shall include, but are not limited to,</w:t>
      </w:r>
    </w:p>
    <w:p>
      <w:pPr>
        <w:pStyle w:val="Normal"/>
        <w:rPr/>
      </w:pPr>
      <w:r>
        <w:rPr/>
      </w:r>
    </w:p>
    <w:p>
      <w:pPr>
        <w:pStyle w:val="Normal"/>
        <w:ind w:hanging="720" w:start="2880" w:end="0"/>
        <w:rPr>
          <w:rFonts w:ascii="Arial" w:hAnsi="Arial" w:cs="Arial"/>
          <w:sz w:val="24"/>
        </w:rPr>
      </w:pPr>
      <w:r>
        <w:rPr>
          <w:rFonts w:cs="Arial" w:ascii="Arial" w:hAnsi="Arial"/>
          <w:sz w:val="24"/>
        </w:rPr>
        <w:t xml:space="preserve">(i) </w:t>
        <w:tab/>
        <w:t xml:space="preserve">provisions regarding events of default; and </w:t>
      </w:r>
    </w:p>
    <w:p>
      <w:pPr>
        <w:pStyle w:val="Normal"/>
        <w:rPr>
          <w:rFonts w:ascii="Arial" w:hAnsi="Arial" w:cs="Arial"/>
          <w:sz w:val="24"/>
        </w:rPr>
      </w:pPr>
      <w:r>
        <w:rPr>
          <w:rFonts w:cs="Arial" w:ascii="Arial" w:hAnsi="Arial"/>
          <w:sz w:val="24"/>
        </w:rPr>
      </w:r>
    </w:p>
    <w:p>
      <w:pPr>
        <w:pStyle w:val="Normal"/>
        <w:numPr>
          <w:ilvl w:val="0"/>
          <w:numId w:val="11"/>
        </w:numPr>
        <w:rPr>
          <w:rFonts w:ascii="Arial" w:hAnsi="Arial" w:cs="Arial"/>
          <w:sz w:val="24"/>
        </w:rPr>
      </w:pPr>
      <w:r>
        <w:rPr>
          <w:rFonts w:cs="Arial" w:ascii="Arial" w:hAnsi="Arial"/>
          <w:sz w:val="24"/>
        </w:rPr>
        <w:t>an obligation of Sonat Energy to reasonably cooperate with Enron Americas' lenders in connection with its procurement of financing.</w:t>
      </w:r>
    </w:p>
    <w:p>
      <w:pPr>
        <w:pStyle w:val="Normal"/>
        <w:rPr>
          <w:rFonts w:ascii="Arial" w:hAnsi="Arial" w:cs="Arial"/>
          <w:sz w:val="24"/>
        </w:rPr>
      </w:pPr>
      <w:r>
        <w:rPr>
          <w:rFonts w:cs="Arial" w:ascii="Arial" w:hAnsi="Arial"/>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2160" w:start="2160" w:end="0"/>
        <w:rPr>
          <w:rFonts w:ascii="Arial" w:hAnsi="Arial" w:cs="Arial"/>
          <w:sz w:val="24"/>
        </w:rPr>
      </w:pPr>
      <w:r>
        <w:rPr>
          <w:rFonts w:cs="Arial" w:ascii="Arial" w:hAnsi="Arial"/>
          <w:sz w:val="24"/>
        </w:rPr>
        <w:t>Survival:</w:t>
        <w:tab/>
        <w:t>Notwithstanding anything to the contrary herein, the provisions set forth under the following headings shall continue and survive the termination of this Agreement for any reason:  "Indemnity," "Limitation of Remedies," "Confidentiality," "Governing Law," and "Dispute Resolution."</w:t>
      </w:r>
    </w:p>
    <w:p>
      <w:pPr>
        <w:pStyle w:val="Normal"/>
        <w:jc w:val="center"/>
        <w:rPr>
          <w:rFonts w:ascii="Arial" w:hAnsi="Arial" w:cs="Arial"/>
          <w:sz w:val="24"/>
        </w:rPr>
      </w:pPr>
      <w:r>
        <w:rPr>
          <w:rFonts w:cs="Arial" w:ascii="Arial" w:hAnsi="Arial"/>
          <w:sz w:val="24"/>
        </w:rPr>
        <w:t>Attachment 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October 13, 1999</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t>333 Clay Street</w:t>
      </w:r>
    </w:p>
    <w:p>
      <w:pPr>
        <w:pStyle w:val="Normal"/>
        <w:rPr>
          <w:rFonts w:ascii="Arial" w:hAnsi="Arial" w:cs="Arial"/>
          <w:sz w:val="24"/>
        </w:rPr>
      </w:pPr>
      <w:r>
        <w:rPr>
          <w:rFonts w:cs="Arial" w:ascii="Arial" w:hAnsi="Arial"/>
          <w:sz w:val="24"/>
        </w:rPr>
        <w:t>Suite 2100</w:t>
      </w:r>
    </w:p>
    <w:p>
      <w:pPr>
        <w:pStyle w:val="Normal"/>
        <w:rPr>
          <w:rFonts w:ascii="Arial" w:hAnsi="Arial" w:cs="Arial"/>
          <w:sz w:val="24"/>
        </w:rPr>
      </w:pPr>
      <w:r>
        <w:rPr>
          <w:rFonts w:cs="Arial" w:ascii="Arial" w:hAnsi="Arial"/>
          <w:sz w:val="24"/>
        </w:rPr>
        <w:t>Houston, Texas 77002-7361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lang w:val="en-CA"/>
        </w:rPr>
        <w:t>Southern LNG Inc.</w:t>
      </w:r>
    </w:p>
    <w:p>
      <w:pPr>
        <w:pStyle w:val="Normal"/>
        <w:rPr>
          <w:rFonts w:ascii="Arial" w:hAnsi="Arial" w:cs="Arial"/>
          <w:sz w:val="24"/>
        </w:rPr>
      </w:pPr>
      <w:r>
        <w:rPr>
          <w:rFonts w:cs="Arial" w:ascii="Arial" w:hAnsi="Arial"/>
          <w:sz w:val="24"/>
        </w:rPr>
        <w:t>AmSouth—Sonat Tower</w:t>
      </w:r>
    </w:p>
    <w:p>
      <w:pPr>
        <w:pStyle w:val="Normal"/>
        <w:rPr/>
      </w:pPr>
      <w:r>
        <w:rPr>
          <w:rFonts w:cs="Arial" w:ascii="Arial" w:hAnsi="Arial"/>
          <w:sz w:val="24"/>
        </w:rPr>
        <w:t>1900 5</w:t>
      </w:r>
      <w:r>
        <w:rPr>
          <w:rFonts w:cs="Arial" w:ascii="Arial" w:hAnsi="Arial"/>
          <w:sz w:val="24"/>
          <w:vertAlign w:val="superscript"/>
        </w:rPr>
        <w:t>th</w:t>
      </w:r>
      <w:r>
        <w:rPr>
          <w:rFonts w:cs="Arial" w:ascii="Arial" w:hAnsi="Arial"/>
          <w:sz w:val="24"/>
        </w:rPr>
        <w:t xml:space="preserve"> Avenue North</w:t>
      </w:r>
    </w:p>
    <w:p>
      <w:pPr>
        <w:pStyle w:val="Normal"/>
        <w:rPr>
          <w:rFonts w:ascii="Arial" w:hAnsi="Arial" w:cs="Arial"/>
          <w:sz w:val="24"/>
        </w:rPr>
      </w:pPr>
      <w:r>
        <w:rPr>
          <w:rFonts w:cs="Arial" w:ascii="Arial" w:hAnsi="Arial"/>
          <w:sz w:val="24"/>
        </w:rPr>
        <w:t>P.O. Box 2563</w:t>
      </w:r>
    </w:p>
    <w:p>
      <w:pPr>
        <w:pStyle w:val="Normal"/>
        <w:rPr>
          <w:rFonts w:ascii="Arial" w:hAnsi="Arial" w:cs="Arial"/>
          <w:sz w:val="24"/>
        </w:rPr>
      </w:pPr>
      <w:r>
        <w:rPr>
          <w:rFonts w:cs="Arial" w:ascii="Arial" w:hAnsi="Arial"/>
          <w:sz w:val="24"/>
        </w:rPr>
        <w:t>Birmingham, Alabama 35203</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Gentlemen:</w:t>
      </w:r>
    </w:p>
    <w:p>
      <w:pPr>
        <w:pStyle w:val="Normal"/>
        <w:rPr>
          <w:rFonts w:ascii="Arial" w:hAnsi="Arial" w:cs="Arial"/>
          <w:sz w:val="24"/>
        </w:rPr>
      </w:pPr>
      <w:r>
        <w:rPr>
          <w:rFonts w:cs="Arial" w:ascii="Arial" w:hAnsi="Arial"/>
          <w:sz w:val="24"/>
        </w:rPr>
      </w:r>
    </w:p>
    <w:p>
      <w:pPr>
        <w:pStyle w:val="Normal"/>
        <w:ind w:firstLine="720" w:end="0"/>
        <w:rPr/>
      </w:pPr>
      <w:r>
        <w:rPr>
          <w:rFonts w:cs="Arial" w:ascii="Arial" w:hAnsi="Arial"/>
          <w:sz w:val="24"/>
        </w:rPr>
        <w:t xml:space="preserve">This letter agreement (this "Quality Letter Agreement") is entered into pursuant to the terms of that certain Letter Agreement (the "Letter Agreement") dated as of the date hereof by and between Sonat Energy Services Company ("Sonat Energy") and Enron Americas LNG Company ("Enron Americas") </w:t>
      </w:r>
      <w:r>
        <w:rPr>
          <w:rFonts w:cs="Arial" w:ascii="Arial" w:hAnsi="Arial"/>
          <w:sz w:val="24"/>
          <w:lang w:val="en-CA"/>
        </w:rPr>
        <w:t xml:space="preserve">providing for the sale of liquefied natural gas ("LNG") by Enron Americas to, and the purchase of LNG by, Sonat Energy on the terms and conditions described therein or in the Definitive Agreement referenced thereby.  This Quality Letter Agreement will confirm the commitments and understandings by and among Sonat Energy, Enron Americas and Southern LNG Inc. ("SLNG," and together with Sonat Energy and Enron Americas, the "Parties," or each individually a "Party") related to the quality of LNG to be delivered by Enron Americas to the Elba Island LNG receiving facility (the "Elba Island Facility") pursuant to the Letter Agreement.  Capitalized terms used herein and not otherwise defined herein shall have the meanings ascribed to such terms in the Letter Agreement. </w:t>
      </w:r>
    </w:p>
    <w:p>
      <w:pPr>
        <w:pStyle w:val="Normal"/>
        <w:ind w:firstLine="720" w:end="0"/>
        <w:rPr>
          <w:rFonts w:ascii="Arial" w:hAnsi="Arial" w:cs="Arial"/>
          <w:sz w:val="24"/>
          <w:lang w:val="en-CA"/>
        </w:rPr>
      </w:pPr>
      <w:r>
        <w:rPr>
          <w:rFonts w:cs="Arial" w:ascii="Arial" w:hAnsi="Arial"/>
          <w:sz w:val="24"/>
          <w:lang w:val="en-CA"/>
        </w:rPr>
      </w:r>
    </w:p>
    <w:p>
      <w:pPr>
        <w:pStyle w:val="Normal"/>
        <w:ind w:firstLine="720" w:end="0"/>
        <w:rPr>
          <w:rFonts w:ascii="Arial" w:hAnsi="Arial" w:cs="Arial"/>
          <w:sz w:val="24"/>
          <w:lang w:val="en-CA"/>
        </w:rPr>
      </w:pPr>
      <w:r>
        <w:rPr>
          <w:rFonts w:cs="Arial" w:ascii="Arial" w:hAnsi="Arial"/>
          <w:sz w:val="24"/>
          <w:lang w:val="en-CA"/>
        </w:rPr>
        <w:t>In recognition of the consideration set forth herein and in the Letter Agreement, and for other good and valuable consideration, the receipt and sufficiency of which is hereby acknowledged by each Party, the Parties hereby agree as follows:</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Prior to the Exit Date, SLNG, after consultation with Enron Americas and Sonat Energy, will develop a plan for making certain modifications to the Elba Island Facility for the treatment of LNG to be delivered by Enron Americas to the Elba Island Facility that are necessary to bring such LNG into compliance with the quality specifications of SLNG's FERC Gas Tariff (the "Proposed Modifications").</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Sonat Energy and SLNG will provide to Enron Americas information reasonably requested by Enron Americas to allow Enron Americas to estimate the costs of the Proposed Modifications prior to the Exit Date.</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Unless the Letter Agreement and the Definitive Agreement are earlier terminated, Enron Americas may, following the Acceptance Date, direct SLNG to prepare and file with the FERC an application seeking authorization from the FERC to construct and install the Proposed Modifications.  SLNG will diligently pursue approval of that application by the FERC.</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Upon SLNG's receipt of all government approvals for the Proposed Modifications, together with any changes to such Proposed Modifications or the Elba Island Facility required or reasonably requested by the FERC (the "Final Modifications"), SLNG will make such Final Modifications to the Elba Island Facility.</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Subject to SLNG's receipt of all governmental approvals for the Final Modifications and the completion of the Final Modifications, SLNG hereby agrees, for the term of the Agreement, to waive compliance by Enron Americas with the quality specifications of its FERC Gas Tariff so as to permit delivery by Enron Americas of LNG which meets the quality specifications set forth in Schedule A to this Quality Letter Agreement.</w:t>
      </w:r>
    </w:p>
    <w:p>
      <w:pPr>
        <w:pStyle w:val="Normal"/>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lang w:val="en-CA"/>
        </w:rPr>
        <w:t>Enron</w:t>
      </w:r>
      <w:r>
        <w:rPr>
          <w:rFonts w:cs="Arial" w:ascii="Arial" w:hAnsi="Arial"/>
          <w:sz w:val="24"/>
        </w:rPr>
        <w:t xml:space="preserve"> Americas will bear financial responsibility for (and have the right to contract with SLNG to perform the work required to install the Final Modifications pursuant to SLNG's specifications), and shall reimburse or directly fund, at the direction of SLNG, 100% of (i) all costs incurred in connection with, or in any way related to or arising out of, the Final Modifications and (ii) all other costs (both capital and operational) otherwise incurred by SLNG or Sonat Energy in connection with the acceptance of LNG that does not conform to SLNG's FERC Gas Tariff of SLNG and/or downstream pipelines.</w:t>
      </w:r>
    </w:p>
    <w:p>
      <w:pPr>
        <w:pStyle w:val="Normal"/>
        <w:ind w:hanging="2160" w:start="2160" w:end="0"/>
        <w:jc w:val="both"/>
        <w:rPr>
          <w:rFonts w:ascii="Arial" w:hAnsi="Arial" w:cs="Arial"/>
          <w:sz w:val="24"/>
          <w:lang w:val="en-CA"/>
        </w:rPr>
      </w:pPr>
      <w:r>
        <w:rPr>
          <w:rFonts w:cs="Arial" w:ascii="Arial" w:hAnsi="Arial"/>
          <w:sz w:val="24"/>
          <w:lang w:val="en-CA"/>
        </w:rPr>
      </w:r>
    </w:p>
    <w:p>
      <w:pPr>
        <w:pStyle w:val="Normal"/>
        <w:numPr>
          <w:ilvl w:val="0"/>
          <w:numId w:val="3"/>
        </w:numPr>
        <w:rPr>
          <w:rFonts w:ascii="Arial" w:hAnsi="Arial" w:cs="Arial"/>
          <w:sz w:val="24"/>
          <w:lang w:val="en-CA"/>
        </w:rPr>
      </w:pPr>
      <w:r>
        <w:rPr>
          <w:rFonts w:cs="Arial" w:ascii="Arial" w:hAnsi="Arial"/>
          <w:sz w:val="24"/>
        </w:rPr>
        <w:t>Should any modifications be required to make the LNG Tankers utilized by Enron Americas and the Elba Island Facility compatible, SLNG and Enron Americas shall agree on the scope of such modifications and the most economical method of achieving compatibility, subject to any regulatory and governmental approvals required in connection therewith, it being understood that Enron Americas will reimburse SLNG for any expenses related to modifications to the Elba Island Facility necessary to accommodate Enron Americas' LNG Tankers (but excluding any costs associated with other unrelated modifications or improvements undertaken contemporaneously therewith).</w:t>
      </w:r>
    </w:p>
    <w:p>
      <w:pPr>
        <w:pStyle w:val="Normal"/>
        <w:rPr>
          <w:rFonts w:ascii="Arial" w:hAnsi="Arial" w:cs="Arial"/>
          <w:sz w:val="24"/>
          <w:lang w:val="en-CA"/>
        </w:rPr>
      </w:pPr>
      <w:r>
        <w:rPr>
          <w:rFonts w:cs="Arial" w:ascii="Arial" w:hAnsi="Arial"/>
          <w:sz w:val="24"/>
          <w:lang w:val="en-CA"/>
        </w:rPr>
      </w:r>
    </w:p>
    <w:p>
      <w:pPr>
        <w:pStyle w:val="Normal"/>
        <w:rPr>
          <w:rFonts w:ascii="Arial" w:hAnsi="Arial" w:eastAsia="Arial" w:cs="Arial"/>
          <w:sz w:val="24"/>
          <w:lang w:val="en-CA"/>
        </w:rPr>
      </w:pPr>
      <w:r>
        <w:rPr>
          <w:rFonts w:eastAsia="Arial" w:cs="Arial" w:ascii="Arial" w:hAnsi="Arial"/>
          <w:sz w:val="24"/>
          <w:lang w:val="en-CA"/>
        </w:rPr>
        <w:t xml:space="preserve"> </w:t>
      </w:r>
      <w:r>
        <w:br w:type="page"/>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lang w:val="en-CA"/>
        </w:rPr>
      </w:pPr>
      <w:r>
        <w:rPr>
          <w:rFonts w:cs="Arial" w:ascii="Arial" w:hAnsi="Arial"/>
          <w:sz w:val="24"/>
          <w:lang w:val="en-CA"/>
        </w:rPr>
        <w:tab/>
        <w:t xml:space="preserve">Please acknowledge your agreement to the terms set out above by signing and returning to us a duplicate copy of this letter. </w:t>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rPr>
      </w:pPr>
      <w:r>
        <w:rPr>
          <w:rFonts w:cs="Arial" w:ascii="Arial" w:hAnsi="Arial"/>
          <w:sz w:val="24"/>
        </w:rPr>
        <w:t>Sincerely,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SONAT ENERGY SERVICES COMPANY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By:__________________________________</w:t>
      </w:r>
    </w:p>
    <w:p>
      <w:pPr>
        <w:pStyle w:val="Normal"/>
        <w:rPr>
          <w:rFonts w:ascii="Arial" w:hAnsi="Arial" w:cs="Arial"/>
          <w:sz w:val="24"/>
        </w:rPr>
      </w:pPr>
      <w:r>
        <w:rPr>
          <w:rFonts w:cs="Arial" w:ascii="Arial" w:hAnsi="Arial"/>
          <w:sz w:val="24"/>
        </w:rPr>
        <w:tab/>
        <w:t>Michael G. Byrne</w:t>
      </w:r>
    </w:p>
    <w:p>
      <w:pPr>
        <w:pStyle w:val="Normal"/>
        <w:rPr>
          <w:rFonts w:ascii="Arial" w:hAnsi="Arial" w:cs="Arial"/>
          <w:sz w:val="24"/>
        </w:rPr>
      </w:pPr>
      <w:r>
        <w:rPr>
          <w:rFonts w:cs="Arial" w:ascii="Arial" w:hAnsi="Arial"/>
          <w:sz w:val="24"/>
        </w:rPr>
        <w:tab/>
        <w:t xml:space="preserve">Vice President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Accepted and Agreed to this _____ day of October,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r>
    </w:p>
    <w:p>
      <w:pPr>
        <w:pStyle w:val="Heading2"/>
        <w:rPr/>
      </w:pPr>
      <w:r>
        <w:rPr/>
        <w:t>By:__________________________________</w:t>
      </w:r>
    </w:p>
    <w:p>
      <w:pPr>
        <w:pStyle w:val="Heading2"/>
        <w:rPr/>
      </w:pPr>
      <w:r>
        <w:rPr/>
        <w:tab/>
        <w:t>Douglas Rotenberg</w:t>
      </w:r>
    </w:p>
    <w:p>
      <w:pPr>
        <w:pStyle w:val="Normal"/>
        <w:ind w:firstLine="720" w:end="0"/>
        <w:rPr>
          <w:rFonts w:ascii="Arial" w:hAnsi="Arial" w:cs="Arial"/>
          <w:sz w:val="24"/>
        </w:rPr>
      </w:pPr>
      <w:r>
        <w:rPr>
          <w:rFonts w:cs="Arial" w:ascii="Arial" w:hAnsi="Arial"/>
          <w:sz w:val="24"/>
        </w:rPr>
        <w:t>Vice President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Accepted and Agreed to this _____ day of October,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lang w:val="en-CA"/>
        </w:rPr>
        <w:t>SOUTHERN LNG INC.</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By:__________________________________</w:t>
      </w:r>
    </w:p>
    <w:p>
      <w:pPr>
        <w:pStyle w:val="Normal"/>
        <w:rPr>
          <w:rFonts w:ascii="Arial" w:hAnsi="Arial" w:cs="Arial"/>
          <w:sz w:val="24"/>
        </w:rPr>
      </w:pPr>
      <w:r>
        <w:rPr>
          <w:rFonts w:cs="Arial" w:ascii="Arial" w:hAnsi="Arial"/>
          <w:sz w:val="24"/>
        </w:rPr>
        <w:tab/>
        <w:t>Patrick B. Pope</w:t>
      </w:r>
    </w:p>
    <w:p>
      <w:pPr>
        <w:pStyle w:val="Normal"/>
        <w:rPr>
          <w:rFonts w:ascii="Arial" w:hAnsi="Arial" w:cs="Arial"/>
          <w:sz w:val="24"/>
        </w:rPr>
      </w:pPr>
      <w:r>
        <w:rPr>
          <w:rFonts w:cs="Arial" w:ascii="Arial" w:hAnsi="Arial"/>
          <w:sz w:val="24"/>
        </w:rPr>
        <w:tab/>
        <w:t>Secretary</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Schedule 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u w:val="single"/>
        </w:rPr>
      </w:pPr>
      <w:r>
        <w:rPr>
          <w:rFonts w:cs="Arial" w:ascii="Arial" w:hAnsi="Arial"/>
          <w:sz w:val="24"/>
          <w:u w:val="single"/>
        </w:rPr>
        <w:t>Quality Specifications</w:t>
      </w:r>
    </w:p>
    <w:p>
      <w:pPr>
        <w:pStyle w:val="Normal"/>
        <w:jc w:val="center"/>
        <w:rPr>
          <w:rFonts w:ascii="Arial" w:hAnsi="Arial" w:cs="Arial"/>
          <w:sz w:val="24"/>
          <w:u w:val="single"/>
        </w:rPr>
      </w:pPr>
      <w:r>
        <w:rPr>
          <w:rFonts w:cs="Arial" w:ascii="Arial" w:hAnsi="Arial"/>
          <w:sz w:val="24"/>
          <w:u w:val="single"/>
        </w:rPr>
      </w:r>
    </w:p>
    <w:p>
      <w:pPr>
        <w:pStyle w:val="Normal"/>
        <w:rPr>
          <w:rFonts w:ascii="Arial" w:hAnsi="Arial" w:cs="Arial"/>
          <w:sz w:val="24"/>
          <w:u w:val="single"/>
        </w:rPr>
      </w:pPr>
      <w:r>
        <w:rPr>
          <w:rFonts w:cs="Arial" w:ascii="Arial" w:hAnsi="Arial"/>
          <w:sz w:val="24"/>
          <w:u w:val="single"/>
        </w:rPr>
      </w:r>
    </w:p>
    <w:tbl>
      <w:tblPr>
        <w:tblW w:w="7290" w:type="dxa"/>
        <w:jc w:val="start"/>
        <w:tblInd w:w="1008" w:type="dxa"/>
        <w:tblLayout w:type="fixed"/>
        <w:tblCellMar>
          <w:top w:w="0" w:type="dxa"/>
          <w:start w:w="108" w:type="dxa"/>
          <w:bottom w:w="0" w:type="dxa"/>
          <w:end w:w="108" w:type="dxa"/>
        </w:tblCellMar>
      </w:tblPr>
      <w:tblGrid>
        <w:gridCol w:w="3870"/>
        <w:gridCol w:w="3420"/>
      </w:tblGrid>
      <w:tr>
        <w:trPr/>
        <w:tc>
          <w:tcPr>
            <w:tcW w:w="3870" w:type="dxa"/>
            <w:tcBorders/>
          </w:tcPr>
          <w:p>
            <w:pPr>
              <w:pStyle w:val="Level1"/>
              <w:widowControl/>
              <w:numPr>
                <w:ilvl w:val="0"/>
                <w:numId w:val="0"/>
              </w:numPr>
              <w:snapToGrid w:val="false"/>
              <w:ind w:hanging="0" w:start="0"/>
              <w:outlineLvl w:val="9"/>
              <w:rPr>
                <w:rFonts w:ascii="Arial" w:hAnsi="Arial" w:cs="Arial"/>
                <w:lang w:eastAsia="en-CA"/>
              </w:rPr>
            </w:pPr>
            <w:r>
              <w:rPr>
                <w:rFonts w:cs="Arial" w:ascii="Arial" w:hAnsi="Arial"/>
                <w:lang w:eastAsia="en-CA"/>
              </w:rPr>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Delivered to Elba Island</w:t>
            </w:r>
          </w:p>
          <w:p>
            <w:pPr>
              <w:pStyle w:val="Level1"/>
              <w:widowControl/>
              <w:numPr>
                <w:ilvl w:val="0"/>
                <w:numId w:val="0"/>
              </w:numPr>
              <w:tabs>
                <w:tab w:val="clear" w:pos="720"/>
                <w:tab w:val="decimal" w:pos="972" w:leader="none"/>
              </w:tabs>
              <w:ind w:hanging="0" w:start="0"/>
              <w:outlineLvl w:val="9"/>
              <w:rPr>
                <w:rFonts w:ascii="Arial" w:hAnsi="Arial" w:cs="Arial"/>
                <w:u w:val="single"/>
                <w:lang w:eastAsia="en-CA"/>
              </w:rPr>
            </w:pPr>
            <w:r>
              <w:rPr>
                <w:rFonts w:cs="Arial" w:ascii="Arial" w:hAnsi="Arial"/>
                <w:u w:val="single"/>
                <w:lang w:eastAsia="en-CA"/>
              </w:rPr>
              <w:t>1090 BTU/SCF (*)</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Nitrogen</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0.11%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CO2</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H2S</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Methane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90.62%</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Ethane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8.05%</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Propane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1.01%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i-Butane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0.09%</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n-Butane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0.09%</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i-Pentane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n-Pentane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n-Hexane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n-Heptane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H2O</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snapToGrid w:val="false"/>
              <w:ind w:hanging="0" w:start="0"/>
              <w:outlineLvl w:val="9"/>
              <w:rPr>
                <w:rFonts w:ascii="Arial" w:hAnsi="Arial" w:cs="Arial"/>
                <w:lang w:eastAsia="en-CA"/>
              </w:rPr>
            </w:pPr>
            <w:r>
              <w:rPr>
                <w:rFonts w:cs="Arial" w:ascii="Arial" w:hAnsi="Arial"/>
                <w:lang w:eastAsia="en-CA"/>
              </w:rPr>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100.00%</w:t>
            </w:r>
          </w:p>
        </w:tc>
      </w:tr>
    </w:tbl>
    <w:p>
      <w:pPr>
        <w:pStyle w:val="Level1"/>
        <w:widowControl/>
        <w:numPr>
          <w:ilvl w:val="0"/>
          <w:numId w:val="0"/>
        </w:numPr>
        <w:tabs>
          <w:tab w:val="clear" w:pos="720"/>
          <w:tab w:val="decimal" w:pos="4320" w:leader="none"/>
          <w:tab w:val="decimal" w:pos="6480" w:leader="none"/>
        </w:tabs>
        <w:ind w:hanging="0" w:start="0"/>
        <w:outlineLvl w:val="9"/>
        <w:rPr>
          <w:rFonts w:ascii="Arial" w:hAnsi="Arial" w:cs="Arial"/>
          <w:lang w:eastAsia="en-CA"/>
        </w:rPr>
      </w:pPr>
      <w:r>
        <w:rPr>
          <w:rFonts w:cs="Arial" w:ascii="Arial" w:hAnsi="Arial"/>
          <w:lang w:eastAsia="en-CA"/>
        </w:rPr>
      </w:r>
    </w:p>
    <w:p>
      <w:pPr>
        <w:pStyle w:val="Level1"/>
        <w:widowControl/>
        <w:numPr>
          <w:ilvl w:val="0"/>
          <w:numId w:val="0"/>
        </w:numPr>
        <w:tabs>
          <w:tab w:val="clear" w:pos="720"/>
          <w:tab w:val="decimal" w:pos="4320" w:leader="none"/>
          <w:tab w:val="decimal" w:pos="6480" w:leader="none"/>
        </w:tabs>
        <w:ind w:hanging="0" w:start="0"/>
        <w:outlineLvl w:val="9"/>
        <w:rPr>
          <w:rFonts w:ascii="Arial" w:hAnsi="Arial" w:cs="Arial"/>
          <w:lang w:eastAsia="en-CA"/>
        </w:rPr>
      </w:pPr>
      <w:r>
        <w:rPr>
          <w:rFonts w:cs="Arial" w:ascii="Arial" w:hAnsi="Arial"/>
          <w:lang w:eastAsia="en-CA"/>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Arial" w:hAnsi="Arial" w:cs="Arial"/>
          <w:sz w:val="24"/>
        </w:rPr>
      </w:pPr>
      <w:r>
        <w:rPr>
          <w:rFonts w:eastAsia="Arial" w:cs="Arial" w:ascii="Arial" w:hAnsi="Arial"/>
          <w:sz w:val="24"/>
        </w:rPr>
        <w:t xml:space="preserve"> </w:t>
      </w:r>
      <w:r>
        <w:rPr>
          <w:rFonts w:cs="Arial" w:ascii="Arial" w:hAnsi="Arial"/>
          <w:sz w:val="24"/>
        </w:rPr>
        <w:t>(*) HHV using NGPA method</w:t>
      </w:r>
    </w:p>
    <w:p>
      <w:pPr>
        <w:pStyle w:val="Heading"/>
        <w:rPr/>
      </w:pPr>
      <w:bookmarkStart w:id="0" w:name="QuickMark"/>
      <w:bookmarkEnd w:id="0"/>
      <w:r>
        <w:rPr/>
        <w:t>EXHIBIT B</w:t>
      </w:r>
    </w:p>
    <w:p>
      <w:pPr>
        <w:pStyle w:val="Subtitle"/>
        <w:rPr/>
      </w:pPr>
      <w:r>
        <w:rPr/>
        <w:t>FORM OF NOTICE OF WITHDRAWAL</w:t>
      </w:r>
    </w:p>
    <w:p>
      <w:pPr>
        <w:pStyle w:val="Normal"/>
        <w:tabs>
          <w:tab w:val="clear" w:pos="720"/>
          <w:tab w:val="center" w:pos="4500" w:leader="none"/>
        </w:tabs>
        <w:ind w:end="-432"/>
        <w:jc w:val="both"/>
        <w:rPr>
          <w:rFonts w:ascii="Arial" w:hAnsi="Arial" w:cs="Arial"/>
        </w:rPr>
      </w:pPr>
      <w:r>
        <w:rPr>
          <w:rFonts w:cs="Arial" w:ascii="Arial" w:hAnsi="Arial"/>
        </w:rPr>
      </w:r>
    </w:p>
    <w:p>
      <w:pPr>
        <w:pStyle w:val="Normal"/>
        <w:tabs>
          <w:tab w:val="clear" w:pos="720"/>
          <w:tab w:val="center" w:pos="4500" w:leader="none"/>
        </w:tabs>
        <w:ind w:end="-432"/>
        <w:jc w:val="both"/>
        <w:rPr>
          <w:rFonts w:ascii="Arial" w:hAnsi="Arial" w:cs="Arial"/>
        </w:rPr>
      </w:pPr>
      <w:r>
        <w:rPr>
          <w:rFonts w:cs="Arial" w:ascii="Arial" w:hAnsi="Arial"/>
        </w:rPr>
      </w:r>
    </w:p>
    <w:p>
      <w:pPr>
        <w:pStyle w:val="Normal"/>
        <w:tabs>
          <w:tab w:val="clear" w:pos="720"/>
          <w:tab w:val="center" w:pos="4500" w:leader="none"/>
        </w:tabs>
        <w:ind w:end="-432"/>
        <w:jc w:val="both"/>
        <w:rPr/>
      </w:pPr>
      <w:r>
        <w:rPr>
          <w:rFonts w:cs="Arial" w:ascii="Arial" w:hAnsi="Arial"/>
          <w:sz w:val="24"/>
        </w:rPr>
        <w:tab/>
      </w:r>
      <w:r>
        <w:rPr>
          <w:rFonts w:cs="Arial" w:ascii="Arial" w:hAnsi="Arial"/>
          <w:b/>
          <w:sz w:val="24"/>
        </w:rPr>
        <w:t>UNITED STATES OF AMERICA</w:t>
      </w:r>
    </w:p>
    <w:p>
      <w:pPr>
        <w:pStyle w:val="Normal"/>
        <w:tabs>
          <w:tab w:val="clear" w:pos="720"/>
          <w:tab w:val="center" w:pos="4500" w:leader="none"/>
        </w:tabs>
        <w:ind w:end="-432"/>
        <w:jc w:val="both"/>
        <w:rPr>
          <w:rFonts w:ascii="Arial" w:hAnsi="Arial" w:cs="Arial"/>
          <w:b/>
          <w:sz w:val="24"/>
        </w:rPr>
      </w:pPr>
      <w:r>
        <w:rPr>
          <w:rFonts w:cs="Arial" w:ascii="Arial" w:hAnsi="Arial"/>
          <w:b/>
          <w:sz w:val="24"/>
        </w:rPr>
        <w:tab/>
        <w:t>BEFORE THE</w:t>
      </w:r>
    </w:p>
    <w:p>
      <w:pPr>
        <w:pStyle w:val="Normal"/>
        <w:tabs>
          <w:tab w:val="clear" w:pos="720"/>
          <w:tab w:val="center" w:pos="4500" w:leader="none"/>
        </w:tabs>
        <w:ind w:end="-432"/>
        <w:jc w:val="both"/>
        <w:rPr>
          <w:rFonts w:ascii="Arial" w:hAnsi="Arial" w:cs="Arial"/>
          <w:sz w:val="24"/>
        </w:rPr>
      </w:pPr>
      <w:r>
        <w:rPr>
          <w:rFonts w:cs="Arial" w:ascii="Arial" w:hAnsi="Arial"/>
          <w:b/>
          <w:sz w:val="24"/>
        </w:rPr>
        <w:tab/>
        <w:t>FEDERAL ENERGY REGULATORY COMMISSION</w:t>
      </w:r>
    </w:p>
    <w:p>
      <w:pPr>
        <w:pStyle w:val="Normal"/>
        <w:ind w:end="-432"/>
        <w:jc w:val="both"/>
        <w:rPr>
          <w:rFonts w:ascii="Arial" w:hAnsi="Arial" w:cs="Arial"/>
          <w:sz w:val="24"/>
        </w:rPr>
      </w:pPr>
      <w:r>
        <w:rPr>
          <w:rFonts w:cs="Arial" w:ascii="Arial" w:hAnsi="Arial"/>
          <w:sz w:val="24"/>
        </w:rPr>
      </w:r>
    </w:p>
    <w:p>
      <w:pPr>
        <w:pStyle w:val="Normal"/>
        <w:tabs>
          <w:tab w:val="clear" w:pos="720"/>
          <w:tab w:val="left" w:pos="-1440" w:leader="none"/>
        </w:tabs>
        <w:ind w:hanging="4320" w:start="4320" w:end="-432"/>
        <w:jc w:val="both"/>
        <w:rPr/>
      </w:pPr>
      <w:r>
        <w:rPr>
          <w:rFonts w:cs="Arial" w:ascii="Arial" w:hAnsi="Arial"/>
          <w:sz w:val="24"/>
        </w:rPr>
        <w:t>Southern LNG, Inc.                       )</w:t>
      </w:r>
      <w:r>
        <w:rPr>
          <w:rFonts w:cs="Arial" w:ascii="Arial" w:hAnsi="Arial"/>
        </w:rPr>
        <w:t>Docket Nos. CP99-579-000 (Not Consolidated</w:t>
      </w:r>
      <w:r>
        <w:rPr>
          <w:rFonts w:cs="Arial" w:ascii="Arial" w:hAnsi="Arial"/>
          <w:sz w:val="24"/>
        </w:rPr>
        <w:t>)</w:t>
      </w:r>
    </w:p>
    <w:p>
      <w:pPr>
        <w:pStyle w:val="Normal"/>
        <w:tabs>
          <w:tab w:val="clear" w:pos="720"/>
          <w:tab w:val="left" w:pos="-1440" w:leader="none"/>
        </w:tabs>
        <w:ind w:hanging="1440" w:start="5040" w:end="-432"/>
        <w:jc w:val="both"/>
        <w:rPr>
          <w:rFonts w:ascii="Arial" w:hAnsi="Arial" w:cs="Arial"/>
          <w:sz w:val="24"/>
        </w:rPr>
      </w:pPr>
      <w:r>
        <w:rPr>
          <w:rFonts w:cs="Arial" w:ascii="Arial" w:hAnsi="Arial"/>
          <w:sz w:val="24"/>
        </w:rPr>
        <w:t>)</w:t>
        <w:tab/>
        <w:tab/>
        <w:t>         CP99-580-000</w:t>
      </w:r>
    </w:p>
    <w:p>
      <w:pPr>
        <w:pStyle w:val="Normal"/>
        <w:tabs>
          <w:tab w:val="clear" w:pos="720"/>
          <w:tab w:val="left" w:pos="-1440" w:leader="none"/>
        </w:tabs>
        <w:ind w:hanging="1440" w:start="5040" w:end="-432"/>
        <w:jc w:val="both"/>
        <w:rPr>
          <w:rFonts w:ascii="Arial" w:hAnsi="Arial" w:cs="Arial"/>
          <w:sz w:val="24"/>
        </w:rPr>
      </w:pPr>
      <w:r>
        <w:rPr>
          <w:rFonts w:cs="Arial" w:ascii="Arial" w:hAnsi="Arial"/>
          <w:sz w:val="24"/>
        </w:rPr>
        <w:t>)</w:t>
        <w:tab/>
        <w:tab/>
        <w:t>         CP99-581-000</w:t>
      </w:r>
    </w:p>
    <w:p>
      <w:pPr>
        <w:pStyle w:val="Normal"/>
        <w:tabs>
          <w:tab w:val="clear" w:pos="720"/>
          <w:tab w:val="left" w:pos="-1440" w:leader="none"/>
        </w:tabs>
        <w:ind w:hanging="1440" w:start="5040" w:end="-432"/>
        <w:jc w:val="both"/>
        <w:rPr>
          <w:rFonts w:ascii="Arial" w:hAnsi="Arial" w:cs="Arial"/>
          <w:sz w:val="24"/>
        </w:rPr>
      </w:pPr>
      <w:r>
        <w:rPr>
          <w:rFonts w:cs="Arial" w:ascii="Arial" w:hAnsi="Arial"/>
          <w:sz w:val="24"/>
        </w:rPr>
        <w:t>)</w:t>
        <w:tab/>
        <w:tab/>
        <w:t>         CP99-582-000</w:t>
      </w:r>
    </w:p>
    <w:p>
      <w:pPr>
        <w:pStyle w:val="Normal"/>
        <w:ind w:end="-432"/>
        <w:jc w:val="both"/>
        <w:rPr>
          <w:rFonts w:ascii="Arial" w:hAnsi="Arial" w:cs="Arial"/>
          <w:sz w:val="24"/>
        </w:rPr>
      </w:pPr>
      <w:r>
        <w:rPr>
          <w:rFonts w:cs="Arial" w:ascii="Arial" w:hAnsi="Arial"/>
          <w:sz w:val="24"/>
        </w:rPr>
      </w:r>
    </w:p>
    <w:p>
      <w:pPr>
        <w:pStyle w:val="Normal"/>
        <w:ind w:end="-432"/>
        <w:jc w:val="both"/>
        <w:rPr>
          <w:rFonts w:ascii="Arial" w:hAnsi="Arial" w:cs="Arial"/>
          <w:sz w:val="24"/>
        </w:rPr>
      </w:pPr>
      <w:r>
        <w:rPr>
          <w:rFonts w:cs="Arial" w:ascii="Arial" w:hAnsi="Arial"/>
          <w:sz w:val="24"/>
        </w:rPr>
      </w:r>
    </w:p>
    <w:p>
      <w:pPr>
        <w:pStyle w:val="Normal"/>
        <w:tabs>
          <w:tab w:val="clear" w:pos="720"/>
          <w:tab w:val="center" w:pos="4500" w:leader="none"/>
        </w:tabs>
        <w:ind w:end="-432"/>
        <w:jc w:val="center"/>
        <w:rPr>
          <w:rFonts w:ascii="Arial" w:hAnsi="Arial" w:cs="Arial"/>
          <w:b/>
          <w:sz w:val="24"/>
        </w:rPr>
      </w:pPr>
      <w:r>
        <w:rPr>
          <w:rFonts w:cs="Arial" w:ascii="Arial" w:hAnsi="Arial"/>
          <w:b/>
          <w:sz w:val="24"/>
        </w:rPr>
        <w:t>NOTICE OF WITHDRAWAL OF PROTEST OF</w:t>
      </w:r>
    </w:p>
    <w:p>
      <w:pPr>
        <w:pStyle w:val="Normal"/>
        <w:tabs>
          <w:tab w:val="clear" w:pos="720"/>
          <w:tab w:val="center" w:pos="4500" w:leader="none"/>
        </w:tabs>
        <w:ind w:end="-432"/>
        <w:jc w:val="center"/>
        <w:rPr>
          <w:rFonts w:ascii="Arial" w:hAnsi="Arial" w:cs="Arial"/>
          <w:b/>
        </w:rPr>
      </w:pPr>
      <w:r>
        <w:rPr>
          <w:rFonts w:cs="Arial" w:ascii="Arial" w:hAnsi="Arial"/>
          <w:b/>
          <w:sz w:val="24"/>
        </w:rPr>
        <w:t>ENRON AMERICAS LNG COMPANY</w:t>
      </w:r>
    </w:p>
    <w:p>
      <w:pPr>
        <w:pStyle w:val="Normal"/>
        <w:tabs>
          <w:tab w:val="clear" w:pos="720"/>
          <w:tab w:val="center" w:pos="4500" w:leader="none"/>
        </w:tabs>
        <w:ind w:end="-432"/>
        <w:jc w:val="both"/>
        <w:rPr>
          <w:rFonts w:ascii="Arial" w:hAnsi="Arial" w:cs="Arial"/>
        </w:rPr>
      </w:pPr>
      <w:r>
        <w:rPr>
          <w:rFonts w:cs="Arial" w:ascii="Arial" w:hAnsi="Arial"/>
        </w:rPr>
        <w:t>____________________________________________________________________________</w:t>
      </w:r>
    </w:p>
    <w:p>
      <w:pPr>
        <w:pStyle w:val="Normal"/>
        <w:spacing w:lineRule="auto" w:line="480"/>
        <w:ind w:end="-432"/>
        <w:jc w:val="both"/>
        <w:rPr>
          <w:rFonts w:ascii="Arial" w:hAnsi="Arial" w:cs="Arial"/>
        </w:rPr>
      </w:pPr>
      <w:r>
        <w:rPr>
          <w:rFonts w:cs="Arial" w:ascii="Arial" w:hAnsi="Arial"/>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rFonts w:ascii="Arial" w:hAnsi="Arial" w:cs="Arial"/>
          <w:lang w:eastAsia="en-CA"/>
        </w:rPr>
      </w:pPr>
      <w:r>
        <w:rPr>
          <w:rFonts w:cs="Arial" w:ascii="Arial" w:hAnsi="Arial"/>
          <w:lang w:eastAsia="en-CA"/>
        </w:rPr>
        <w:t>Pursuant to Rule 216 of the Commission's Rules of Practice and Procedure, 18 C.F.R. § 385.216, Enron Americas LNG Company ("Enron LNG") hereby submits this “Notice of Withdrawal” of the Protest Enron LNG filed in this proceeding on August 16, 1999.  This Notice of Withdrawal is with prejudice in the above-captioned proceeding concerning all claims raised in such Protest by Enron LNG regarding acts or omissions by Southern LNG, Inc. (“SLNG”) to reactivate the Elba Island Terminal.</w:t>
      </w:r>
    </w:p>
    <w:p>
      <w:pPr>
        <w:pStyle w:val="Normal"/>
        <w:rPr>
          <w:rFonts w:ascii="Arial" w:hAnsi="Arial" w:cs="Arial"/>
          <w:lang w:eastAsia="en-CA"/>
        </w:rPr>
      </w:pPr>
      <w:r>
        <w:rPr>
          <w:rFonts w:cs="Arial" w:ascii="Arial" w:hAnsi="Arial"/>
          <w:lang w:eastAsia="en-CA"/>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rFonts w:ascii="Arial" w:hAnsi="Arial" w:cs="Arial"/>
          <w:lang w:eastAsia="en-CA"/>
        </w:rPr>
      </w:pPr>
      <w:r>
        <w:rPr>
          <w:rFonts w:cs="Arial" w:ascii="Arial" w:hAnsi="Arial"/>
          <w:lang w:eastAsia="en-CA"/>
        </w:rPr>
        <w:t xml:space="preserve">Since the Protest was filed, Enron LNG and Sonat Energy Services Company (“SES”) have negotiated a commercial resolution regarding the future use of the Elba Island Terminal. This resolution addresses and resolves all of the concerns raised in Enron LNG’s Protest. </w:t>
      </w:r>
    </w:p>
    <w:p>
      <w:pPr>
        <w:pStyle w:val="Normal"/>
        <w:ind w:firstLine="720" w:end="0"/>
        <w:rPr>
          <w:rFonts w:ascii="Arial" w:hAnsi="Arial" w:cs="Arial"/>
          <w:lang w:eastAsia="en-CA"/>
        </w:rPr>
      </w:pPr>
      <w:r>
        <w:rPr>
          <w:rFonts w:cs="Arial" w:ascii="Arial" w:hAnsi="Arial"/>
          <w:lang w:eastAsia="en-CA"/>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rFonts w:ascii="Arial" w:hAnsi="Arial" w:cs="Arial"/>
          <w:lang w:eastAsia="en-CA"/>
        </w:rPr>
      </w:pPr>
      <w:r>
        <w:rPr>
          <w:rFonts w:cs="Arial" w:ascii="Arial" w:hAnsi="Arial"/>
          <w:lang w:eastAsia="en-CA"/>
        </w:rPr>
        <w:t xml:space="preserve">Enron LNG now fully supports the applications as currently filed by SLNG, including SLNG's request for issuance of a preliminary determination by December 31, 1999 and a certificate order in the first quarter of 2000, as well as the tariff and rates proposed by SLNG in the above-captioned proceeding as of the date hereof. </w:t>
      </w:r>
    </w:p>
    <w:p>
      <w:pPr>
        <w:pStyle w:val="Normal"/>
        <w:ind w:firstLine="720" w:end="0"/>
        <w:rPr>
          <w:rFonts w:ascii="Arial" w:hAnsi="Arial" w:cs="Arial"/>
          <w:sz w:val="24"/>
          <w:lang w:eastAsia="en-CA"/>
        </w:rPr>
      </w:pPr>
      <w:r>
        <w:rPr>
          <w:rFonts w:cs="Arial" w:ascii="Arial" w:hAnsi="Arial"/>
          <w:sz w:val="24"/>
          <w:lang w:eastAsia="en-CA"/>
        </w:rPr>
      </w:r>
    </w:p>
    <w:p>
      <w:pPr>
        <w:pStyle w:val="Level1"/>
        <w:widowControl/>
        <w:numPr>
          <w:ilvl w:val="0"/>
          <w:numId w:val="0"/>
        </w:numPr>
        <w:ind w:hanging="0" w:start="0"/>
        <w:outlineLvl w:val="9"/>
        <w:rPr>
          <w:rFonts w:ascii="Arial" w:hAnsi="Arial" w:cs="Arial"/>
          <w:lang w:eastAsia="en-CA"/>
        </w:rPr>
      </w:pPr>
      <w:r>
        <w:rPr>
          <w:rFonts w:cs="Arial" w:ascii="Arial" w:hAnsi="Arial"/>
          <w:lang w:eastAsia="en-CA"/>
        </w:rPr>
        <w:tab/>
        <w:t xml:space="preserve">Notwithstanding the above, Enron LNG specifically reserves the right to comment on or object to any attempt by SLNG to amend, modify, or deviate from the proposed reactivation or operation of the Elba Island Terminal as set forth in the applications filed by SLNG in the above-referenced docket numbers on July 13, 1999. </w:t>
      </w:r>
      <w:r>
        <w:br w:type="page"/>
      </w:r>
    </w:p>
    <w:p>
      <w:pPr>
        <w:pStyle w:val="Normal"/>
        <w:jc w:val="both"/>
        <w:rPr>
          <w:rFonts w:ascii="Arial" w:hAnsi="Arial" w:cs="Arial"/>
          <w:color w:val="000000"/>
          <w:lang w:eastAsia="en-CA"/>
        </w:rPr>
      </w:pPr>
      <w:r>
        <w:rPr>
          <w:rFonts w:cs="Arial" w:ascii="Arial" w:hAnsi="Arial"/>
          <w:color w:val="000000"/>
          <w:lang w:eastAsia="en-CA"/>
        </w:rPr>
      </w:r>
    </w:p>
    <w:p>
      <w:pPr>
        <w:pStyle w:val="Normal"/>
        <w:rPr/>
      </w:pPr>
      <w:r>
        <w:rPr/>
        <w:tab/>
        <w:tab/>
      </w:r>
      <w:r>
        <w:rPr>
          <w:rFonts w:cs="Arial" w:ascii="Arial" w:hAnsi="Arial"/>
          <w:sz w:val="24"/>
        </w:rPr>
        <w:tab/>
        <w:tab/>
        <w:tab/>
        <w:t>Respectfully submitted,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ab/>
        <w:t>Enron Americas LNG Company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ab/>
        <w:t xml:space="preserve"> By:__________________________________</w:t>
      </w:r>
    </w:p>
    <w:p>
      <w:pPr>
        <w:pStyle w:val="Normal"/>
        <w:rPr>
          <w:rFonts w:ascii="Arial" w:hAnsi="Arial" w:cs="Arial"/>
          <w:sz w:val="24"/>
        </w:rPr>
      </w:pPr>
      <w:r>
        <w:rPr>
          <w:rFonts w:cs="Arial" w:ascii="Arial" w:hAnsi="Arial"/>
          <w:sz w:val="24"/>
        </w:rPr>
        <w:tab/>
        <w:tab/>
        <w:tab/>
        <w:tab/>
        <w:tab/>
        <w:tab/>
        <w:t>Charles A. Moore</w:t>
      </w:r>
    </w:p>
    <w:p>
      <w:pPr>
        <w:pStyle w:val="Normal"/>
        <w:rPr>
          <w:rFonts w:ascii="Arial" w:hAnsi="Arial" w:cs="Arial"/>
          <w:sz w:val="24"/>
        </w:rPr>
      </w:pPr>
      <w:r>
        <w:rPr>
          <w:rFonts w:cs="Arial" w:ascii="Arial" w:hAnsi="Arial"/>
          <w:sz w:val="24"/>
        </w:rPr>
        <w:tab/>
        <w:tab/>
        <w:tab/>
        <w:tab/>
        <w:tab/>
        <w:tab/>
        <w:t>Steven A. Weiler</w:t>
      </w:r>
    </w:p>
    <w:p>
      <w:pPr>
        <w:pStyle w:val="Normal"/>
        <w:rPr>
          <w:rFonts w:ascii="Arial" w:hAnsi="Arial" w:cs="Arial"/>
          <w:sz w:val="24"/>
        </w:rPr>
      </w:pPr>
      <w:r>
        <w:rPr>
          <w:rFonts w:cs="Arial" w:ascii="Arial" w:hAnsi="Arial"/>
          <w:sz w:val="24"/>
        </w:rPr>
        <w:tab/>
        <w:tab/>
        <w:tab/>
        <w:tab/>
        <w:tab/>
        <w:tab/>
        <w:t>Akin Gump Strauss Hauer</w:t>
      </w:r>
    </w:p>
    <w:p>
      <w:pPr>
        <w:pStyle w:val="Normal"/>
        <w:rPr>
          <w:rFonts w:ascii="Arial" w:hAnsi="Arial" w:cs="Arial"/>
          <w:sz w:val="24"/>
        </w:rPr>
      </w:pPr>
      <w:r>
        <w:rPr>
          <w:rFonts w:cs="Arial" w:ascii="Arial" w:hAnsi="Arial"/>
          <w:sz w:val="24"/>
        </w:rPr>
        <w:tab/>
        <w:tab/>
        <w:tab/>
        <w:tab/>
        <w:tab/>
        <w:tab/>
        <w:t xml:space="preserve">   &amp; Feld, L.L.P.</w:t>
      </w:r>
    </w:p>
    <w:p>
      <w:pPr>
        <w:pStyle w:val="Normal"/>
        <w:rPr>
          <w:rFonts w:ascii="Arial" w:hAnsi="Arial" w:cs="Arial"/>
          <w:sz w:val="24"/>
        </w:rPr>
      </w:pPr>
      <w:r>
        <w:rPr>
          <w:rFonts w:cs="Arial" w:ascii="Arial" w:hAnsi="Arial"/>
          <w:sz w:val="24"/>
        </w:rPr>
        <w:tab/>
        <w:tab/>
        <w:tab/>
        <w:tab/>
        <w:tab/>
        <w:tab/>
        <w:t>1333 New Hampshire Ave. N.W.</w:t>
      </w:r>
    </w:p>
    <w:p>
      <w:pPr>
        <w:pStyle w:val="Normal"/>
        <w:rPr>
          <w:rFonts w:ascii="Arial" w:hAnsi="Arial" w:cs="Arial"/>
          <w:sz w:val="24"/>
        </w:rPr>
      </w:pPr>
      <w:r>
        <w:rPr>
          <w:rFonts w:cs="Arial" w:ascii="Arial" w:hAnsi="Arial"/>
          <w:sz w:val="24"/>
        </w:rPr>
        <w:tab/>
        <w:tab/>
        <w:tab/>
        <w:tab/>
        <w:tab/>
        <w:t xml:space="preserve">  </w:t>
        <w:tab/>
        <w:t>Suite 400</w:t>
      </w:r>
    </w:p>
    <w:p>
      <w:pPr>
        <w:pStyle w:val="Normal"/>
        <w:rPr>
          <w:rFonts w:ascii="Arial" w:hAnsi="Arial" w:cs="Arial"/>
          <w:sz w:val="24"/>
        </w:rPr>
      </w:pPr>
      <w:r>
        <w:rPr>
          <w:rFonts w:cs="Arial" w:ascii="Arial" w:hAnsi="Arial"/>
          <w:sz w:val="24"/>
        </w:rPr>
        <w:tab/>
        <w:tab/>
        <w:tab/>
        <w:tab/>
        <w:tab/>
        <w:tab/>
        <w:t>Washington, D.C.   20036</w:t>
      </w:r>
    </w:p>
    <w:p>
      <w:pPr>
        <w:pStyle w:val="Normal"/>
        <w:rPr>
          <w:rFonts w:ascii="Arial" w:hAnsi="Arial" w:cs="Arial"/>
          <w:sz w:val="24"/>
        </w:rPr>
      </w:pPr>
      <w:r>
        <w:rPr>
          <w:rFonts w:cs="Arial" w:ascii="Arial" w:hAnsi="Arial"/>
          <w:sz w:val="24"/>
        </w:rPr>
        <w:tab/>
        <w:tab/>
        <w:tab/>
        <w:tab/>
        <w:tab/>
        <w:tab/>
        <w:t>(202) 887-4370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DATED:  October 13, 1999</w:t>
      </w:r>
      <w:r>
        <w:br w:type="page"/>
      </w:r>
    </w:p>
    <w:p>
      <w:pPr>
        <w:pStyle w:val="Normal"/>
        <w:rPr>
          <w:rFonts w:ascii="Arial" w:hAnsi="Arial" w:cs="Arial"/>
          <w:sz w:val="24"/>
        </w:rPr>
      </w:pPr>
      <w:r>
        <w:rPr>
          <w:rFonts w:cs="Arial" w:ascii="Arial" w:hAnsi="Arial"/>
          <w:sz w:val="24"/>
        </w:rPr>
      </w:r>
    </w:p>
    <w:p>
      <w:pPr>
        <w:pStyle w:val="Normal"/>
        <w:jc w:val="center"/>
        <w:rPr>
          <w:rFonts w:ascii="Arial" w:hAnsi="Arial" w:cs="Arial"/>
          <w:b/>
          <w:spacing w:val="-3"/>
          <w:sz w:val="24"/>
        </w:rPr>
      </w:pPr>
      <w:r>
        <w:rPr>
          <w:rFonts w:cs="Arial" w:ascii="Arial" w:hAnsi="Arial"/>
          <w:b/>
          <w:spacing w:val="-3"/>
          <w:sz w:val="24"/>
        </w:rPr>
        <w:t>CERTIFICATE OF SERVICE</w:t>
      </w:r>
    </w:p>
    <w:p>
      <w:pPr>
        <w:pStyle w:val="Normal"/>
        <w:rPr>
          <w:rFonts w:ascii="Arial" w:hAnsi="Arial" w:cs="Arial"/>
          <w:b/>
          <w:spacing w:val="-3"/>
          <w:sz w:val="24"/>
        </w:rPr>
      </w:pPr>
      <w:r>
        <w:rPr>
          <w:rFonts w:cs="Arial" w:ascii="Arial" w:hAnsi="Arial"/>
          <w:b/>
          <w:spacing w:val="-3"/>
          <w:sz w:val="24"/>
        </w:rPr>
      </w:r>
    </w:p>
    <w:p>
      <w:pPr>
        <w:pStyle w:val="Normal"/>
        <w:rPr>
          <w:rFonts w:ascii="Arial" w:hAnsi="Arial" w:cs="Arial"/>
          <w:sz w:val="24"/>
        </w:rPr>
      </w:pPr>
      <w:r>
        <w:rPr>
          <w:rFonts w:cs="Arial" w:ascii="Arial" w:hAnsi="Arial"/>
          <w:sz w:val="24"/>
        </w:rPr>
        <w:tab/>
        <w:t>I hereby certify that I have this day served the foregoing document upon each person designated on the official service list compiled by the Secretary in this proceeding.</w:t>
      </w:r>
    </w:p>
    <w:p>
      <w:pPr>
        <w:pStyle w:val="Normal"/>
        <w:rPr>
          <w:rFonts w:ascii="Arial" w:hAnsi="Arial" w:cs="Arial"/>
          <w:sz w:val="24"/>
        </w:rPr>
      </w:pPr>
      <w:r>
        <w:rPr>
          <w:rFonts w:cs="Arial" w:ascii="Arial" w:hAnsi="Arial"/>
          <w:sz w:val="24"/>
        </w:rPr>
      </w:r>
    </w:p>
    <w:p>
      <w:pPr>
        <w:pStyle w:val="Normal"/>
        <w:rPr>
          <w:rFonts w:ascii="Arial" w:hAnsi="Arial" w:cs="Arial"/>
          <w:spacing w:val="-3"/>
          <w:sz w:val="24"/>
        </w:rPr>
      </w:pPr>
      <w:r>
        <w:rPr>
          <w:rFonts w:cs="Arial" w:ascii="Arial" w:hAnsi="Arial"/>
          <w:spacing w:val="-3"/>
          <w:sz w:val="24"/>
        </w:rPr>
        <w:tab/>
        <w:t>DATED at Washington, D.C., this 13th day of October, 1999.</w:t>
      </w:r>
    </w:p>
    <w:p>
      <w:pPr>
        <w:pStyle w:val="Normal"/>
        <w:rPr>
          <w:rFonts w:ascii="Arial" w:hAnsi="Arial" w:cs="Arial"/>
          <w:spacing w:val="-3"/>
          <w:sz w:val="24"/>
        </w:rPr>
      </w:pPr>
      <w:r>
        <w:rPr>
          <w:rFonts w:cs="Arial" w:ascii="Arial" w:hAnsi="Arial"/>
          <w:spacing w:val="-3"/>
          <w:sz w:val="24"/>
        </w:rPr>
      </w:r>
    </w:p>
    <w:p>
      <w:pPr>
        <w:pStyle w:val="Normal"/>
        <w:rPr>
          <w:rFonts w:ascii="Arial" w:hAnsi="Arial" w:cs="Arial"/>
          <w:spacing w:val="-3"/>
          <w:sz w:val="24"/>
        </w:rPr>
      </w:pPr>
      <w:r>
        <w:rPr>
          <w:rFonts w:cs="Arial" w:ascii="Arial" w:hAnsi="Arial"/>
          <w:spacing w:val="-3"/>
          <w:sz w:val="24"/>
        </w:rPr>
      </w:r>
    </w:p>
    <w:p>
      <w:pPr>
        <w:pStyle w:val="Normal"/>
        <w:rPr>
          <w:rFonts w:ascii="Arial" w:hAnsi="Arial" w:cs="Arial"/>
          <w:spacing w:val="-3"/>
          <w:sz w:val="24"/>
        </w:rPr>
      </w:pPr>
      <w:r>
        <w:rPr>
          <w:rFonts w:cs="Arial" w:ascii="Arial" w:hAnsi="Arial"/>
          <w:spacing w:val="-3"/>
          <w:sz w:val="24"/>
        </w:rPr>
        <w:tab/>
        <w:tab/>
        <w:tab/>
        <w:tab/>
        <w:tab/>
        <w:tab/>
        <w:t>________________________________</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Arial" w:hAnsi="Arial" w:cs="Arial"/>
          <w:spacing w:val="-3"/>
          <w:sz w:val="24"/>
        </w:rPr>
      </w:pPr>
      <w:r>
        <w:rPr>
          <w:rFonts w:cs="Arial" w:ascii="Arial" w:hAnsi="Arial"/>
          <w:spacing w:val="-3"/>
          <w:sz w:val="24"/>
        </w:rPr>
        <w:tab/>
        <w:tab/>
        <w:tab/>
        <w:tab/>
        <w:tab/>
        <w:tab/>
        <w:t>Steven A. Weiler</w:t>
      </w:r>
    </w:p>
    <w:p>
      <w:pPr>
        <w:pStyle w:val="Normal"/>
        <w:jc w:val="center"/>
        <w:rPr>
          <w:rFonts w:ascii="Arial" w:hAnsi="Arial" w:cs="Arial"/>
          <w:spacing w:val="-3"/>
          <w:sz w:val="24"/>
        </w:rPr>
      </w:pPr>
      <w:r>
        <w:rPr>
          <w:rFonts w:cs="Arial" w:ascii="Arial" w:hAnsi="Arial"/>
          <w:spacing w:val="-3"/>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October 13, 1999</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t>333 Clay Street</w:t>
      </w:r>
    </w:p>
    <w:p>
      <w:pPr>
        <w:pStyle w:val="Normal"/>
        <w:rPr>
          <w:rFonts w:ascii="Arial" w:hAnsi="Arial" w:cs="Arial"/>
          <w:sz w:val="24"/>
        </w:rPr>
      </w:pPr>
      <w:r>
        <w:rPr>
          <w:rFonts w:cs="Arial" w:ascii="Arial" w:hAnsi="Arial"/>
          <w:sz w:val="24"/>
        </w:rPr>
        <w:t>Suite 2100</w:t>
      </w:r>
    </w:p>
    <w:p>
      <w:pPr>
        <w:pStyle w:val="Normal"/>
        <w:rPr>
          <w:rFonts w:ascii="Arial" w:hAnsi="Arial" w:cs="Arial"/>
          <w:sz w:val="24"/>
        </w:rPr>
      </w:pPr>
      <w:r>
        <w:rPr>
          <w:rFonts w:cs="Arial" w:ascii="Arial" w:hAnsi="Arial"/>
          <w:sz w:val="24"/>
        </w:rPr>
        <w:t>Houston, Texas 77002-7361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lang w:val="en-CA"/>
        </w:rPr>
        <w:t>Southern LNG Inc.</w:t>
      </w:r>
    </w:p>
    <w:p>
      <w:pPr>
        <w:pStyle w:val="Normal"/>
        <w:rPr>
          <w:rFonts w:ascii="Arial" w:hAnsi="Arial" w:cs="Arial"/>
          <w:sz w:val="24"/>
        </w:rPr>
      </w:pPr>
      <w:r>
        <w:rPr>
          <w:rFonts w:cs="Arial" w:ascii="Arial" w:hAnsi="Arial"/>
          <w:sz w:val="24"/>
        </w:rPr>
        <w:t>AmSouth—Sonat Tower</w:t>
      </w:r>
    </w:p>
    <w:p>
      <w:pPr>
        <w:pStyle w:val="Normal"/>
        <w:rPr/>
      </w:pPr>
      <w:r>
        <w:rPr>
          <w:rFonts w:cs="Arial" w:ascii="Arial" w:hAnsi="Arial"/>
          <w:sz w:val="24"/>
        </w:rPr>
        <w:t>1900 5</w:t>
      </w:r>
      <w:r>
        <w:rPr>
          <w:rFonts w:cs="Arial" w:ascii="Arial" w:hAnsi="Arial"/>
          <w:sz w:val="24"/>
          <w:vertAlign w:val="superscript"/>
        </w:rPr>
        <w:t>th</w:t>
      </w:r>
      <w:r>
        <w:rPr>
          <w:rFonts w:cs="Arial" w:ascii="Arial" w:hAnsi="Arial"/>
          <w:sz w:val="24"/>
        </w:rPr>
        <w:t xml:space="preserve"> Avenue North</w:t>
      </w:r>
    </w:p>
    <w:p>
      <w:pPr>
        <w:pStyle w:val="Normal"/>
        <w:rPr>
          <w:rFonts w:ascii="Arial" w:hAnsi="Arial" w:cs="Arial"/>
          <w:sz w:val="24"/>
        </w:rPr>
      </w:pPr>
      <w:r>
        <w:rPr>
          <w:rFonts w:cs="Arial" w:ascii="Arial" w:hAnsi="Arial"/>
          <w:sz w:val="24"/>
        </w:rPr>
        <w:t>P.O. Box 2563</w:t>
      </w:r>
    </w:p>
    <w:p>
      <w:pPr>
        <w:pStyle w:val="Normal"/>
        <w:rPr>
          <w:rFonts w:ascii="Arial" w:hAnsi="Arial" w:cs="Arial"/>
          <w:sz w:val="24"/>
        </w:rPr>
      </w:pPr>
      <w:r>
        <w:rPr>
          <w:rFonts w:cs="Arial" w:ascii="Arial" w:hAnsi="Arial"/>
          <w:sz w:val="24"/>
        </w:rPr>
        <w:t>Birmingham, Alabama 35203</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Gentlemen:</w:t>
      </w:r>
    </w:p>
    <w:p>
      <w:pPr>
        <w:pStyle w:val="Normal"/>
        <w:rPr>
          <w:rFonts w:ascii="Arial" w:hAnsi="Arial" w:cs="Arial"/>
          <w:sz w:val="24"/>
        </w:rPr>
      </w:pPr>
      <w:r>
        <w:rPr>
          <w:rFonts w:cs="Arial" w:ascii="Arial" w:hAnsi="Arial"/>
          <w:sz w:val="24"/>
        </w:rPr>
      </w:r>
    </w:p>
    <w:p>
      <w:pPr>
        <w:pStyle w:val="Normal"/>
        <w:ind w:firstLine="720" w:end="0"/>
        <w:rPr/>
      </w:pPr>
      <w:r>
        <w:rPr>
          <w:rFonts w:cs="Arial" w:ascii="Arial" w:hAnsi="Arial"/>
          <w:sz w:val="24"/>
        </w:rPr>
        <w:t xml:space="preserve">This letter agreement (this "Quality Letter Agreement") is entered into pursuant to the terms of that certain Letter Agreement (the "Letter Agreement") dated as of the date hereof by and between Sonat Energy Services Company ("Sonat Energy") and Enron Americas LNG Company ("Enron Americas") </w:t>
      </w:r>
      <w:r>
        <w:rPr>
          <w:rFonts w:cs="Arial" w:ascii="Arial" w:hAnsi="Arial"/>
          <w:sz w:val="24"/>
          <w:lang w:val="en-CA"/>
        </w:rPr>
        <w:t xml:space="preserve">providing for the sale of liquefied natural gas ("LNG") by Enron Americas to, and the purchase of LNG by, Sonat Energy on the terms and conditions described therein or in the Definitive Agreement referenced thereby.  This Quality Letter Agreement will confirm the commitments and understandings by and among Sonat Energy, Enron Americas and Southern LNG Inc. ("SLNG," and together with Sonat Energy and Enron Americas, the "Parties," or each individually a "Party") related to the quality of LNG to be delivered by Enron Americas to the Elba Island LNG receiving facility (the "Elba Island Facility") pursuant to the Letter Agreement.  Capitalized terms used herein and not otherwise defined herein shall have the meanings ascribed to such terms in the Letter Agreement. </w:t>
      </w:r>
    </w:p>
    <w:p>
      <w:pPr>
        <w:pStyle w:val="Normal"/>
        <w:ind w:firstLine="720" w:end="0"/>
        <w:rPr>
          <w:rFonts w:ascii="Arial" w:hAnsi="Arial" w:cs="Arial"/>
          <w:sz w:val="24"/>
          <w:lang w:val="en-CA"/>
        </w:rPr>
      </w:pPr>
      <w:r>
        <w:rPr>
          <w:rFonts w:cs="Arial" w:ascii="Arial" w:hAnsi="Arial"/>
          <w:sz w:val="24"/>
          <w:lang w:val="en-CA"/>
        </w:rPr>
      </w:r>
    </w:p>
    <w:p>
      <w:pPr>
        <w:pStyle w:val="Normal"/>
        <w:ind w:firstLine="720" w:end="0"/>
        <w:rPr>
          <w:rFonts w:ascii="Arial" w:hAnsi="Arial" w:cs="Arial"/>
          <w:sz w:val="24"/>
          <w:lang w:val="en-CA"/>
        </w:rPr>
      </w:pPr>
      <w:r>
        <w:rPr>
          <w:rFonts w:cs="Arial" w:ascii="Arial" w:hAnsi="Arial"/>
          <w:sz w:val="24"/>
          <w:lang w:val="en-CA"/>
        </w:rPr>
        <w:t>In recognition of the consideration set forth herein and in the Letter Agreement, and for other good and valuable consideration, the receipt and sufficiency of which is hereby acknowledged by each Party, the Parties hereby agree as follows:</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Prior to the Exit Date, SLNG, after consultation with Enron Americas and Sonat Energy, will develop a plan for making certain modifications to the Elba Island Facility for the treatment of LNG to be delivered by Enron Americas to the Elba Island Facility that are necessary to bring such LNG into compliance with the quality specifications of SLNG's FERC Gas Tariff (the "Proposed Modifications").</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Sonat Energy and SLNG will provide to Enron Americas information reasonably requested by Enron Americas to allow Enron Americas to estimate the costs of the Proposed Modifications prior to the Exit Date.</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Unless the Letter Agreement and the Definitive Agreement are earlier terminated, Enron Americas may, following the Acceptance Date, direct SLNG to prepare and file with the FERC an application seeking authorization from the FERC to construct and install the Proposed Modifications.  SLNG will diligently pursue approval of that application by the FERC.</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Upon SLNG's receipt of all government approvals for the Proposed Modifications, together with any changes to such Proposed Modifications or the Elba Island Facility required or reasonably requested by the FERC (the "Final Modifications"), SLNG will make such Final Modifications to the Elba Island Facility.</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Subject to SLNG's receipt of all governmental approvals for the Final Modifications and the completion of the Final Modifications, SLNG hereby agrees, for the term of the Agreement, to waive compliance by Enron Americas with the quality specifications of its FERC Gas Tariff so as to permit delivery by Enron Americas of LNG which meets the quality specifications set forth in Schedule A to this Quality Letter Agreement.</w:t>
      </w:r>
    </w:p>
    <w:p>
      <w:pPr>
        <w:pStyle w:val="Normal"/>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lang w:val="en-CA"/>
        </w:rPr>
        <w:t>Enron</w:t>
      </w:r>
      <w:r>
        <w:rPr>
          <w:rFonts w:cs="Arial" w:ascii="Arial" w:hAnsi="Arial"/>
          <w:sz w:val="24"/>
        </w:rPr>
        <w:t xml:space="preserve"> Americas will bear financial responsibility for (and have the right to contract with SLNG to perform the work required to install the Final Modifications pursuant to SLNG's specifications), and shall reimburse or directly fund, at the direction of SLNG, 100% of (i) all costs incurred in connection with, or in any way related to or arising out of, the Final Modifications and (ii) all other costs (both capital and operational) otherwise incurred by SLNG or Sonat Energy in connection with the acceptance of LNG that does not conform to SLNG's FERC Gas Tariff of SLNG and/or downstream pipelines.</w:t>
      </w:r>
    </w:p>
    <w:p>
      <w:pPr>
        <w:pStyle w:val="Normal"/>
        <w:ind w:hanging="2160" w:start="2160" w:end="0"/>
        <w:jc w:val="both"/>
        <w:rPr>
          <w:rFonts w:ascii="Arial" w:hAnsi="Arial" w:cs="Arial"/>
          <w:sz w:val="24"/>
          <w:lang w:val="en-CA"/>
        </w:rPr>
      </w:pPr>
      <w:r>
        <w:rPr>
          <w:rFonts w:cs="Arial" w:ascii="Arial" w:hAnsi="Arial"/>
          <w:sz w:val="24"/>
          <w:lang w:val="en-CA"/>
        </w:rPr>
      </w:r>
    </w:p>
    <w:p>
      <w:pPr>
        <w:pStyle w:val="Normal"/>
        <w:numPr>
          <w:ilvl w:val="0"/>
          <w:numId w:val="14"/>
        </w:numPr>
        <w:rPr>
          <w:rFonts w:ascii="Arial" w:hAnsi="Arial" w:cs="Arial"/>
          <w:sz w:val="24"/>
          <w:lang w:val="en-CA"/>
        </w:rPr>
      </w:pPr>
      <w:r>
        <w:rPr>
          <w:rFonts w:cs="Arial" w:ascii="Arial" w:hAnsi="Arial"/>
          <w:sz w:val="24"/>
        </w:rPr>
        <w:t>Should any modifications be required to make the LNG Tankers utilized by Enron Americas and the Elba Island Facility compatible, SLNG and Enron Americas shall agree on the scope of such modifications and the most economical method of achieving compatibility, subject to any regulatory and governmental approvals required in connection therewith, it being understood that Enron Americas will reimburse SLNG for any expenses related to modifications to the Elba Island Facility necessary to accommodate Enron Americas' LNG Tankers (but excluding any costs associated with other unrelated modifications or improvements undertaken contemporaneously therewith).</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Arial" w:hAnsi="Arial" w:cs="Arial"/>
          <w:sz w:val="24"/>
          <w:lang w:val="en-CA"/>
        </w:rPr>
      </w:pPr>
      <w:r>
        <w:rPr>
          <w:rFonts w:cs="Arial" w:ascii="Arial" w:hAnsi="Arial"/>
          <w:sz w:val="24"/>
          <w:lang w:val="en-CA"/>
        </w:rPr>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lang w:val="en-CA"/>
        </w:rPr>
      </w:pPr>
      <w:r>
        <w:rPr>
          <w:rFonts w:cs="Arial" w:ascii="Arial" w:hAnsi="Arial"/>
          <w:sz w:val="24"/>
          <w:lang w:val="en-CA"/>
        </w:rPr>
        <w:tab/>
        <w:t xml:space="preserve">Please acknowledge your agreement to the terms set out above by signing and returning to us a duplicate copy of this letter. </w:t>
      </w:r>
    </w:p>
    <w:p>
      <w:pPr>
        <w:pStyle w:val="Normal"/>
        <w:rPr>
          <w:rFonts w:ascii="Arial" w:hAnsi="Arial" w:cs="Arial"/>
          <w:sz w:val="24"/>
          <w:lang w:val="en-CA"/>
        </w:rPr>
      </w:pPr>
      <w:r>
        <w:rPr>
          <w:rFonts w:cs="Arial" w:ascii="Arial" w:hAnsi="Arial"/>
          <w:sz w:val="24"/>
          <w:lang w:val="en-CA"/>
        </w:rPr>
      </w:r>
    </w:p>
    <w:p>
      <w:pPr>
        <w:pStyle w:val="Normal"/>
        <w:rPr>
          <w:rFonts w:ascii="Arial" w:hAnsi="Arial" w:cs="Arial"/>
          <w:sz w:val="24"/>
        </w:rPr>
      </w:pPr>
      <w:r>
        <w:rPr>
          <w:rFonts w:cs="Arial" w:ascii="Arial" w:hAnsi="Arial"/>
          <w:sz w:val="24"/>
        </w:rPr>
        <w:t>Sincerely,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SONAT ENERGY SERVICES COMPANY</w:t>
      </w:r>
    </w:p>
    <w:p>
      <w:pPr>
        <w:pStyle w:val="Normal"/>
        <w:rPr>
          <w:rFonts w:ascii="Arial" w:hAnsi="Arial" w:cs="Arial"/>
          <w:sz w:val="24"/>
        </w:rPr>
      </w:pPr>
      <w:r>
        <w:rPr>
          <w:rFonts w:cs="Arial" w:ascii="Arial" w:hAnsi="Arial"/>
          <w:sz w:val="24"/>
        </w:rPr>
      </w:r>
    </w:p>
    <w:p>
      <w:pPr>
        <w:pStyle w:val="Normal"/>
        <w:rPr/>
      </w:pPr>
      <w:r>
        <w:rPr>
          <w:rFonts w:cs="Arial" w:ascii="Arial" w:hAnsi="Arial"/>
          <w:sz w:val="24"/>
        </w:rPr>
        <w:t>By:</w:t>
      </w:r>
      <w:r>
        <w:rPr>
          <w:rFonts w:cs="Arial" w:ascii="Arial" w:hAnsi="Arial"/>
          <w:sz w:val="24"/>
          <w:u w:val="single"/>
        </w:rPr>
        <w:tab/>
        <w:t>/s/ Michael G. Byrne</w:t>
        <w:tab/>
        <w:tab/>
      </w:r>
    </w:p>
    <w:p>
      <w:pPr>
        <w:pStyle w:val="Normal"/>
        <w:rPr>
          <w:rFonts w:ascii="Arial" w:hAnsi="Arial" w:cs="Arial"/>
          <w:sz w:val="24"/>
        </w:rPr>
      </w:pPr>
      <w:r>
        <w:rPr>
          <w:rFonts w:cs="Arial" w:ascii="Arial" w:hAnsi="Arial"/>
          <w:sz w:val="24"/>
        </w:rPr>
        <w:tab/>
        <w:t>Michael G. Byrne</w:t>
      </w:r>
    </w:p>
    <w:p>
      <w:pPr>
        <w:pStyle w:val="Normal"/>
        <w:rPr>
          <w:rFonts w:ascii="Arial" w:hAnsi="Arial" w:cs="Arial"/>
          <w:sz w:val="24"/>
        </w:rPr>
      </w:pPr>
      <w:r>
        <w:rPr>
          <w:rFonts w:cs="Arial" w:ascii="Arial" w:hAnsi="Arial"/>
          <w:sz w:val="24"/>
        </w:rPr>
        <w:tab/>
        <w:t xml:space="preserve">Vice President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Accepted and Agreed to this _____ day of October,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AMERICAS LNG COMPANY</w:t>
      </w:r>
    </w:p>
    <w:p>
      <w:pPr>
        <w:pStyle w:val="Normal"/>
        <w:rPr>
          <w:rFonts w:ascii="Arial" w:hAnsi="Arial" w:cs="Arial"/>
          <w:sz w:val="24"/>
        </w:rPr>
      </w:pPr>
      <w:r>
        <w:rPr>
          <w:rFonts w:cs="Arial" w:ascii="Arial" w:hAnsi="Arial"/>
          <w:sz w:val="24"/>
        </w:rPr>
      </w:r>
    </w:p>
    <w:p>
      <w:pPr>
        <w:pStyle w:val="Heading2"/>
        <w:rPr/>
      </w:pPr>
      <w:r>
        <w:rPr/>
        <w:t>By:</w:t>
      </w:r>
      <w:r>
        <w:rPr>
          <w:u w:val="single"/>
        </w:rPr>
        <w:tab/>
        <w:t>/s/ Douglas Rotenberg</w:t>
        <w:tab/>
        <w:tab/>
      </w:r>
    </w:p>
    <w:p>
      <w:pPr>
        <w:pStyle w:val="Heading2"/>
        <w:rPr/>
      </w:pPr>
      <w:r>
        <w:rPr/>
        <w:tab/>
        <w:t>Douglas Rotenberg</w:t>
      </w:r>
    </w:p>
    <w:p>
      <w:pPr>
        <w:pStyle w:val="Normal"/>
        <w:ind w:firstLine="720" w:end="0"/>
        <w:rPr>
          <w:rFonts w:ascii="Arial" w:hAnsi="Arial" w:cs="Arial"/>
          <w:sz w:val="24"/>
        </w:rPr>
      </w:pPr>
      <w:r>
        <w:rPr>
          <w:rFonts w:cs="Arial" w:ascii="Arial" w:hAnsi="Arial"/>
          <w:sz w:val="24"/>
        </w:rPr>
        <w:t>Vice President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Accepted and Agreed to this _____ day of October,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lang w:val="en-CA"/>
        </w:rPr>
        <w:t>SOUTHERN LNG INC.</w:t>
      </w:r>
    </w:p>
    <w:p>
      <w:pPr>
        <w:pStyle w:val="Normal"/>
        <w:rPr>
          <w:rFonts w:ascii="Arial" w:hAnsi="Arial" w:cs="Arial"/>
          <w:sz w:val="24"/>
        </w:rPr>
      </w:pPr>
      <w:r>
        <w:rPr>
          <w:rFonts w:cs="Arial" w:ascii="Arial" w:hAnsi="Arial"/>
          <w:sz w:val="24"/>
        </w:rPr>
      </w:r>
    </w:p>
    <w:p>
      <w:pPr>
        <w:pStyle w:val="Normal"/>
        <w:rPr/>
      </w:pPr>
      <w:r>
        <w:rPr>
          <w:rFonts w:cs="Arial" w:ascii="Arial" w:hAnsi="Arial"/>
          <w:sz w:val="24"/>
        </w:rPr>
        <w:t>By:</w:t>
      </w:r>
      <w:r>
        <w:rPr>
          <w:rFonts w:cs="Arial" w:ascii="Arial" w:hAnsi="Arial"/>
          <w:sz w:val="24"/>
          <w:u w:val="single"/>
        </w:rPr>
        <w:tab/>
        <w:t>/s/ Patrick B. Pope</w:t>
      </w:r>
    </w:p>
    <w:p>
      <w:pPr>
        <w:pStyle w:val="Normal"/>
        <w:rPr>
          <w:rFonts w:ascii="Arial" w:hAnsi="Arial" w:cs="Arial"/>
          <w:sz w:val="24"/>
        </w:rPr>
      </w:pPr>
      <w:r>
        <w:rPr>
          <w:rFonts w:cs="Arial" w:ascii="Arial" w:hAnsi="Arial"/>
          <w:sz w:val="24"/>
        </w:rPr>
        <w:tab/>
        <w:t>Patrick B. Pope</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start="3" w:fmt="decimal"/>
          <w:formProt w:val="false"/>
          <w:textDirection w:val="lrTb"/>
          <w:docGrid w:type="default" w:linePitch="360" w:charSpace="0"/>
        </w:sectPr>
        <w:pStyle w:val="Normal"/>
        <w:rPr>
          <w:rFonts w:ascii="Arial" w:hAnsi="Arial" w:cs="Arial"/>
          <w:sz w:val="24"/>
        </w:rPr>
      </w:pPr>
      <w:r>
        <w:rPr>
          <w:rFonts w:cs="Arial" w:ascii="Arial" w:hAnsi="Arial"/>
          <w:sz w:val="24"/>
        </w:rPr>
        <w:tab/>
        <w:t>Secretary</w:t>
      </w:r>
    </w:p>
    <w:p>
      <w:pPr>
        <w:pStyle w:val="Normal"/>
        <w:jc w:val="center"/>
        <w:rPr>
          <w:rFonts w:ascii="Arial" w:hAnsi="Arial" w:cs="Arial"/>
          <w:sz w:val="24"/>
        </w:rPr>
      </w:pPr>
      <w:r>
        <w:rPr>
          <w:rFonts w:cs="Arial" w:ascii="Arial" w:hAnsi="Arial"/>
          <w:sz w:val="24"/>
        </w:rPr>
        <w:t>Schedule 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u w:val="single"/>
        </w:rPr>
      </w:pPr>
      <w:r>
        <w:rPr>
          <w:rFonts w:cs="Arial" w:ascii="Arial" w:hAnsi="Arial"/>
          <w:sz w:val="24"/>
          <w:u w:val="single"/>
        </w:rPr>
        <w:t>Quality Specifications</w:t>
      </w:r>
    </w:p>
    <w:p>
      <w:pPr>
        <w:pStyle w:val="Normal"/>
        <w:jc w:val="center"/>
        <w:rPr>
          <w:rFonts w:ascii="Arial" w:hAnsi="Arial" w:cs="Arial"/>
          <w:sz w:val="24"/>
          <w:u w:val="single"/>
        </w:rPr>
      </w:pPr>
      <w:r>
        <w:rPr>
          <w:rFonts w:cs="Arial" w:ascii="Arial" w:hAnsi="Arial"/>
          <w:sz w:val="24"/>
          <w:u w:val="single"/>
        </w:rPr>
      </w:r>
    </w:p>
    <w:p>
      <w:pPr>
        <w:pStyle w:val="Normal"/>
        <w:rPr>
          <w:rFonts w:ascii="Arial" w:hAnsi="Arial" w:cs="Arial"/>
          <w:sz w:val="24"/>
          <w:u w:val="single"/>
        </w:rPr>
      </w:pPr>
      <w:r>
        <w:rPr>
          <w:rFonts w:cs="Arial" w:ascii="Arial" w:hAnsi="Arial"/>
          <w:sz w:val="24"/>
          <w:u w:val="single"/>
        </w:rPr>
      </w:r>
    </w:p>
    <w:p>
      <w:pPr>
        <w:pStyle w:val="Normal"/>
        <w:rPr/>
      </w:pPr>
      <w:r>
        <w:rPr/>
        <w:tab/>
        <w:tab/>
        <w:tab/>
        <w:tab/>
        <w:tab/>
      </w:r>
    </w:p>
    <w:tbl>
      <w:tblPr>
        <w:tblW w:w="7290" w:type="dxa"/>
        <w:jc w:val="start"/>
        <w:tblInd w:w="1008" w:type="dxa"/>
        <w:tblLayout w:type="fixed"/>
        <w:tblCellMar>
          <w:top w:w="0" w:type="dxa"/>
          <w:start w:w="108" w:type="dxa"/>
          <w:bottom w:w="0" w:type="dxa"/>
          <w:end w:w="108" w:type="dxa"/>
        </w:tblCellMar>
      </w:tblPr>
      <w:tblGrid>
        <w:gridCol w:w="3870"/>
        <w:gridCol w:w="3420"/>
      </w:tblGrid>
      <w:tr>
        <w:trPr/>
        <w:tc>
          <w:tcPr>
            <w:tcW w:w="3870" w:type="dxa"/>
            <w:tcBorders/>
          </w:tcPr>
          <w:p>
            <w:pPr>
              <w:pStyle w:val="Level1"/>
              <w:widowControl/>
              <w:numPr>
                <w:ilvl w:val="0"/>
                <w:numId w:val="0"/>
              </w:numPr>
              <w:snapToGrid w:val="false"/>
              <w:ind w:hanging="0" w:start="0"/>
              <w:outlineLvl w:val="9"/>
              <w:rPr>
                <w:rFonts w:ascii="Arial" w:hAnsi="Arial" w:cs="Arial"/>
                <w:lang w:eastAsia="en-CA"/>
              </w:rPr>
            </w:pPr>
            <w:r>
              <w:rPr>
                <w:rFonts w:cs="Arial" w:ascii="Arial" w:hAnsi="Arial"/>
                <w:lang w:eastAsia="en-CA"/>
              </w:rPr>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Delivered to Elba Island</w:t>
            </w:r>
          </w:p>
          <w:p>
            <w:pPr>
              <w:pStyle w:val="Level1"/>
              <w:widowControl/>
              <w:numPr>
                <w:ilvl w:val="0"/>
                <w:numId w:val="0"/>
              </w:numPr>
              <w:tabs>
                <w:tab w:val="clear" w:pos="720"/>
                <w:tab w:val="decimal" w:pos="972" w:leader="none"/>
              </w:tabs>
              <w:ind w:hanging="0" w:start="0"/>
              <w:outlineLvl w:val="9"/>
              <w:rPr>
                <w:rFonts w:ascii="Arial" w:hAnsi="Arial" w:cs="Arial"/>
                <w:u w:val="single"/>
                <w:lang w:eastAsia="en-CA"/>
              </w:rPr>
            </w:pPr>
            <w:r>
              <w:rPr>
                <w:rFonts w:cs="Arial" w:ascii="Arial" w:hAnsi="Arial"/>
                <w:u w:val="single"/>
                <w:lang w:eastAsia="en-CA"/>
              </w:rPr>
              <w:t>1090 BTU/SCF (*)</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Nitrogen</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0.11%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CO2</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H2S</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Methane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90.62%</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Ethane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8.05%</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Propane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1.01%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i-Butane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0.09%</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n-Butane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0.09%</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i-Pentane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n-Pentane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0.01%</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n-Hexane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n-Heptane</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ind w:hanging="0" w:start="0"/>
              <w:outlineLvl w:val="9"/>
              <w:rPr>
                <w:rFonts w:ascii="Arial" w:hAnsi="Arial" w:cs="Arial"/>
                <w:lang w:eastAsia="en-CA"/>
              </w:rPr>
            </w:pPr>
            <w:r>
              <w:rPr>
                <w:rFonts w:cs="Arial" w:ascii="Arial" w:hAnsi="Arial"/>
                <w:lang w:eastAsia="en-CA"/>
              </w:rPr>
              <w:t>H2O</w:t>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0.00%</w:t>
            </w:r>
          </w:p>
        </w:tc>
      </w:tr>
      <w:tr>
        <w:trPr/>
        <w:tc>
          <w:tcPr>
            <w:tcW w:w="3870" w:type="dxa"/>
            <w:tcBorders/>
          </w:tcPr>
          <w:p>
            <w:pPr>
              <w:pStyle w:val="Level1"/>
              <w:widowControl/>
              <w:numPr>
                <w:ilvl w:val="0"/>
                <w:numId w:val="0"/>
              </w:numPr>
              <w:snapToGrid w:val="false"/>
              <w:ind w:hanging="0" w:start="0"/>
              <w:outlineLvl w:val="9"/>
              <w:rPr>
                <w:rFonts w:ascii="Arial" w:hAnsi="Arial" w:cs="Arial"/>
                <w:lang w:eastAsia="en-CA"/>
              </w:rPr>
            </w:pPr>
            <w:r>
              <w:rPr>
                <w:rFonts w:cs="Arial" w:ascii="Arial" w:hAnsi="Arial"/>
                <w:lang w:eastAsia="en-CA"/>
              </w:rPr>
            </w:r>
          </w:p>
        </w:tc>
        <w:tc>
          <w:tcPr>
            <w:tcW w:w="3420" w:type="dxa"/>
            <w:tcBorders/>
          </w:tcPr>
          <w:p>
            <w:pPr>
              <w:pStyle w:val="Level1"/>
              <w:widowControl/>
              <w:numPr>
                <w:ilvl w:val="0"/>
                <w:numId w:val="0"/>
              </w:numPr>
              <w:tabs>
                <w:tab w:val="clear" w:pos="720"/>
                <w:tab w:val="decimal" w:pos="972" w:leader="none"/>
              </w:tabs>
              <w:ind w:hanging="0" w:start="0"/>
              <w:outlineLvl w:val="9"/>
              <w:rPr>
                <w:rFonts w:ascii="Arial" w:hAnsi="Arial" w:cs="Arial"/>
                <w:lang w:eastAsia="en-CA"/>
              </w:rPr>
            </w:pPr>
            <w:r>
              <w:rPr>
                <w:rFonts w:cs="Arial" w:ascii="Arial" w:hAnsi="Arial"/>
                <w:lang w:eastAsia="en-CA"/>
              </w:rPr>
              <w:t>100.00%</w:t>
            </w:r>
          </w:p>
        </w:tc>
      </w:tr>
    </w:tbl>
    <w:p>
      <w:pPr>
        <w:pStyle w:val="Level1"/>
        <w:widowControl/>
        <w:numPr>
          <w:ilvl w:val="0"/>
          <w:numId w:val="0"/>
        </w:numPr>
        <w:tabs>
          <w:tab w:val="clear" w:pos="720"/>
          <w:tab w:val="decimal" w:pos="4320" w:leader="none"/>
          <w:tab w:val="decimal" w:pos="6480" w:leader="none"/>
        </w:tabs>
        <w:ind w:hanging="0" w:start="0"/>
        <w:outlineLvl w:val="9"/>
        <w:rPr>
          <w:rFonts w:ascii="Arial" w:hAnsi="Arial" w:cs="Arial"/>
          <w:lang w:eastAsia="en-CA"/>
        </w:rPr>
      </w:pPr>
      <w:r>
        <w:rPr>
          <w:rFonts w:cs="Arial" w:ascii="Arial" w:hAnsi="Arial"/>
          <w:lang w:eastAsia="en-CA"/>
        </w:rPr>
      </w:r>
    </w:p>
    <w:p>
      <w:pPr>
        <w:pStyle w:val="Normal"/>
        <w:rPr>
          <w:lang w:val="en-CA"/>
        </w:rPr>
      </w:pPr>
      <w:r>
        <w:rPr>
          <w:rFonts w:cs="Arial" w:ascii="Arial" w:hAnsi="Arial"/>
          <w:sz w:val="24"/>
        </w:rPr>
        <w:t>(*) HHV using NGPA method</w:t>
      </w:r>
    </w:p>
    <w:p>
      <w:pPr>
        <w:pStyle w:val="Normal"/>
        <w:rPr>
          <w:lang w:val="en-CA"/>
        </w:rPr>
      </w:pPr>
      <w:r>
        <w:rPr>
          <w:lang w:val="en-CA"/>
        </w:rPr>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Bookman Old Style">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p>
  <w:p>
    <w:pPr>
      <w:pStyle w:val="FooterB"/>
      <w:rPr/>
    </w:pPr>
    <w:r>
      <w:rPr/>
    </w:r>
  </w:p>
  <w:p>
    <w:pPr>
      <w:pStyle w:val="FooterB"/>
      <w:jc w:val="start"/>
      <w:rPr/>
    </w:pPr>
    <w:r>
      <w:rPr/>
      <w:t>28450.16-Houston Server 1A\</w:t>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LNG Sale &amp; Purchase Agreement Term Sheet</w:t>
      <w:tab/>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r>
      <w:rPr>
        <w:rStyle w:val="PageNumber"/>
        <w:rFonts w:cs="Arial" w:ascii="Arial" w:hAnsi="Arial"/>
      </w:rPr>
      <w:tab/>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Quality Letter Agreement</w:t>
      <w:tab/>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Style w:val="PageNumber"/>
        <w:rFonts w:cs="Arial" w:ascii="Arial" w:hAnsi="Arial"/>
      </w:rPr>
      <w:tab/>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Quality Letter Agreement</w:t>
      <w:tab/>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ab/>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Schedule A to Quality Letter Agreement</w:t>
      <w:tab/>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Fonts w:cs="Arial" w:ascii="Arial" w:hAnsi="Arial"/>
      </w:rPr>
      <w:tab/>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Exhibit A to LNG Sale &amp; Purchase Agreement Term Sheet</w:t>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31</w:t>
    </w:r>
    <w:r>
      <w:rPr>
        <w:rStyle w:val="PageNumber"/>
        <w:rFonts w:cs="Arial" w:ascii="Arial" w:hAnsi="Arial"/>
      </w:rPr>
      <w:fldChar w:fldCharType="end"/>
    </w:r>
    <w:r>
      <w:rPr>
        <w:rStyle w:val="PageNumber"/>
        <w:rFonts w:cs="Arial" w:ascii="Arial" w:hAnsi="Arial"/>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Attachment 1 to Exhibit A to LNG Sale &amp; Purchase Agreement Term Sheet</w:t>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Schedule A to Attachment 1 to Exhibit A to LNG Sale &amp; Purchase Agreement Term Sheet</w:t>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r>
      <w:rPr>
        <w:rStyle w:val="PageNumber"/>
        <w:rFonts w:cs="Arial" w:ascii="Arial" w:hAnsi="Arial"/>
      </w:rPr>
      <w:tab/>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rPr>
    </w:pPr>
    <w:r>
      <w:rPr>
        <w:rFonts w:cs="Arial" w:ascii="Arial" w:hAnsi="Arial"/>
      </w:rPr>
      <w:t>Exhibit B to LNG Sale &amp; Purchase Agreement Term Sheet</w:t>
      <w:tab/>
      <w:t>Confidential</w:t>
    </w:r>
  </w:p>
  <w:p>
    <w:pPr>
      <w:pStyle w:val="Header"/>
      <w:tabs>
        <w:tab w:val="clear" w:pos="8640"/>
        <w:tab w:val="center" w:pos="4320" w:leader="none"/>
        <w:tab w:val="right" w:pos="9360" w:leader="none"/>
      </w:tabs>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ab/>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decimal"/>
      <w:suff w:val="nothing"/>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1">
      <w:start w:val="1"/>
      <w:numFmt w:val="upperLetter"/>
      <w:suff w:val="nothing"/>
      <w:lvlText w:val="%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suff w:val="nothing"/>
      <w:lvlText w:val="%3."/>
      <w:lvlJc w:val="start"/>
      <w:pPr>
        <w:tabs>
          <w:tab w:val="num" w:pos="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3">
      <w:start w:val="1"/>
      <w:numFmt w:val="lowerLetter"/>
      <w:suff w:val="nothing"/>
      <w:lvlText w:val="%4."/>
      <w:lvlJc w:val="start"/>
      <w:pPr>
        <w:tabs>
          <w:tab w:val="num" w:pos="0"/>
        </w:tabs>
        <w:ind w:start="0" w:hanging="0"/>
      </w:pPr>
    </w:lvl>
    <w:lvl w:ilvl="4">
      <w:start w:val="1"/>
      <w:numFmt w:val="none"/>
      <w:suff w:val="nothing"/>
      <w:lvlText w:val="%5"/>
      <w:lvlJc w:val="start"/>
      <w:pPr>
        <w:tabs>
          <w:tab w:val="num" w:pos="360"/>
        </w:tabs>
        <w:ind w:start="0" w:hanging="0"/>
      </w:pPr>
    </w:lvl>
    <w:lvl w:ilvl="5">
      <w:start w:val="1"/>
      <w:numFmt w:val="none"/>
      <w:suff w:val="nothing"/>
      <w:lvlText w:val="%6"/>
      <w:lvlJc w:val="start"/>
      <w:pPr>
        <w:tabs>
          <w:tab w:val="num" w:pos="360"/>
        </w:tabs>
        <w:ind w:start="0" w:hanging="0"/>
      </w:pPr>
    </w:lvl>
    <w:lvl w:ilvl="6">
      <w:start w:val="1"/>
      <w:numFmt w:val="none"/>
      <w:suff w:val="nothing"/>
      <w:lvlText w:val="%7"/>
      <w:lvlJc w:val="start"/>
      <w:pPr>
        <w:tabs>
          <w:tab w:val="num" w:pos="360"/>
        </w:tabs>
        <w:ind w:start="0" w:hanging="0"/>
      </w:pPr>
    </w:lvl>
    <w:lvl w:ilvl="7">
      <w:start w:val="1"/>
      <w:numFmt w:val="none"/>
      <w:suff w:val="nothing"/>
      <w:lvlText w:val="%8"/>
      <w:lvlJc w:val="start"/>
      <w:pPr>
        <w:tabs>
          <w:tab w:val="num" w:pos="360"/>
        </w:tabs>
        <w:ind w:start="0" w:hanging="0"/>
      </w:pPr>
    </w:lvl>
    <w:lvl w:ilvl="8">
      <w:start w:val="0"/>
      <w:numFmt w:val="none"/>
      <w:suff w:val="nothing"/>
      <w:lvlText w:val="%9"/>
      <w:lvlJc w:val="start"/>
      <w:pPr>
        <w:tabs>
          <w:tab w:val="num" w:pos="360"/>
        </w:tabs>
        <w:ind w:start="0" w:hanging="0"/>
      </w:pPr>
    </w:lvl>
  </w:abstractNum>
  <w:abstractNum w:abstractNumId="3">
    <w:lvl w:ilvl="0">
      <w:start w:val="1"/>
      <w:numFmt w:val="decimal"/>
      <w:lvlText w:val="%1."/>
      <w:lvlJc w:val="start"/>
      <w:pPr>
        <w:tabs>
          <w:tab w:val="num" w:pos="720"/>
        </w:tabs>
        <w:ind w:start="720" w:hanging="720"/>
      </w:pPr>
      <w:rPr/>
    </w:lvl>
  </w:abstractNum>
  <w:abstractNum w:abstractNumId="4">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1"/>
      <w:numFmt w:val="decimal"/>
      <w:lvlText w:val="%1."/>
      <w:lvlJc w:val="start"/>
      <w:pPr>
        <w:tabs>
          <w:tab w:val="num" w:pos="2880"/>
        </w:tabs>
        <w:ind w:start="2880" w:hanging="720"/>
      </w:pPr>
      <w:rPr/>
    </w:lvl>
  </w:abstractNum>
  <w:abstractNum w:abstractNumId="6">
    <w:lvl w:ilvl="0">
      <w:start w:val="1"/>
      <w:numFmt w:val="lowerLetter"/>
      <w:lvlText w:val="(%1)"/>
      <w:lvlJc w:val="start"/>
      <w:pPr>
        <w:tabs>
          <w:tab w:val="num" w:pos="2880"/>
        </w:tabs>
        <w:ind w:start="2880" w:hanging="720"/>
      </w:pPr>
      <w:rPr/>
    </w:lvl>
  </w:abstractNum>
  <w:abstractNum w:abstractNumId="7">
    <w:lvl w:ilvl="0">
      <w:start w:val="1"/>
      <w:numFmt w:val="lowerRoman"/>
      <w:lvlText w:val="%1."/>
      <w:lvlJc w:val="start"/>
      <w:pPr>
        <w:tabs>
          <w:tab w:val="num" w:pos="2880"/>
        </w:tabs>
        <w:ind w:start="2880" w:hanging="720"/>
      </w:pPr>
      <w:rPr/>
    </w:lvl>
  </w:abstractNum>
  <w:abstractNum w:abstractNumId="8">
    <w:lvl w:ilvl="0">
      <w:start w:val="1"/>
      <w:numFmt w:val="decimal"/>
      <w:lvlText w:val="%1."/>
      <w:lvlJc w:val="start"/>
      <w:pPr>
        <w:tabs>
          <w:tab w:val="num" w:pos="2880"/>
        </w:tabs>
        <w:ind w:start="2880" w:hanging="720"/>
      </w:pPr>
      <w:rPr/>
    </w:lvl>
  </w:abstractNum>
  <w:abstractNum w:abstractNumId="9">
    <w:lvl w:ilvl="0">
      <w:start w:val="1"/>
      <w:numFmt w:val="decimal"/>
      <w:lvlText w:val="%1."/>
      <w:lvlJc w:val="start"/>
      <w:pPr>
        <w:tabs>
          <w:tab w:val="num" w:pos="1440"/>
        </w:tabs>
        <w:ind w:start="1440" w:hanging="720"/>
      </w:pPr>
      <w:rPr/>
    </w:lvl>
  </w:abstractNum>
  <w:abstractNum w:abstractNumId="10">
    <w:lvl w:ilvl="0">
      <w:start w:val="1"/>
      <w:numFmt w:val="lowerLetter"/>
      <w:lvlText w:val="(%1)"/>
      <w:lvlJc w:val="start"/>
      <w:pPr>
        <w:tabs>
          <w:tab w:val="num" w:pos="2880"/>
        </w:tabs>
        <w:ind w:start="2880" w:hanging="720"/>
      </w:pPr>
      <w:rPr/>
    </w:lvl>
  </w:abstractNum>
  <w:abstractNum w:abstractNumId="11">
    <w:lvl w:ilvl="0">
      <w:start w:val="2"/>
      <w:numFmt w:val="lowerRoman"/>
      <w:lvlText w:val="(%1)"/>
      <w:lvlJc w:val="start"/>
      <w:pPr>
        <w:tabs>
          <w:tab w:val="num" w:pos="2880"/>
        </w:tabs>
        <w:ind w:start="2880" w:hanging="720"/>
      </w:pPr>
      <w:rPr/>
    </w:lvl>
  </w:abstractNum>
  <w:abstractNum w:abstractNumId="12">
    <w:lvl w:ilvl="0">
      <w:start w:val="1"/>
      <w:numFmt w:val="lowerRoman"/>
      <w:lvlText w:val="(%1)"/>
      <w:lvlJc w:val="start"/>
      <w:pPr>
        <w:tabs>
          <w:tab w:val="num" w:pos="2880"/>
        </w:tabs>
        <w:ind w:start="2880" w:hanging="720"/>
      </w:pPr>
      <w:rPr/>
    </w:lvl>
  </w:abstractNum>
  <w:abstractNum w:abstractNumId="13">
    <w:lvl w:ilvl="0">
      <w:start w:val="1"/>
      <w:numFmt w:val="lowerRoman"/>
      <w:lvlText w:val="(%1)"/>
      <w:lvlJc w:val="start"/>
      <w:pPr>
        <w:tabs>
          <w:tab w:val="num" w:pos="3600"/>
        </w:tabs>
        <w:ind w:start="360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lowerLetter"/>
      <w:lvlText w:val="(%1)"/>
      <w:lvlJc w:val="start"/>
      <w:pPr>
        <w:tabs>
          <w:tab w:val="num" w:pos="2880"/>
        </w:tabs>
        <w:ind w:start="2880" w:hanging="720"/>
      </w:pPr>
      <w:rPr/>
    </w:lvl>
  </w:abstractNum>
  <w:abstractNum w:abstractNumId="16">
    <w:lvl w:ilvl="0">
      <w:start w:val="1"/>
      <w:numFmt w:val="lowerLetter"/>
      <w:lvlText w:val="(%1)"/>
      <w:lvlJc w:val="start"/>
      <w:pPr>
        <w:tabs>
          <w:tab w:val="num" w:pos="2610"/>
        </w:tabs>
        <w:ind w:start="2610" w:hanging="450"/>
      </w:pPr>
      <w:rPr/>
    </w:lvl>
  </w:abstractNum>
  <w:abstractNum w:abstractNumId="17">
    <w:lvl w:ilvl="0">
      <w:start w:val="1"/>
      <w:numFmt w:val="decimal"/>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1">
      <w:start w:val="1"/>
      <w:numFmt w:val="decimal"/>
      <w:lvlText w:val="Section %1.%2"/>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none"/>
      <w:suff w:val="nothing"/>
      <w:lvlText w:val="%9"/>
      <w:lvlJc w:val="start"/>
      <w:pPr>
        <w:tabs>
          <w:tab w:val="num" w:pos="36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jc w:val="center"/>
      <w:outlineLvl w:val="0"/>
    </w:pPr>
    <w:rPr>
      <w:rFonts w:ascii="Arial" w:hAnsi="Arial" w:cs="Arial"/>
      <w:b/>
      <w:sz w:val="28"/>
    </w:rPr>
  </w:style>
  <w:style w:type="paragraph" w:styleId="Heading2">
    <w:name w:val="heading 2"/>
    <w:basedOn w:val="Normal"/>
    <w:next w:val="Normal"/>
    <w:qFormat/>
    <w:pPr>
      <w:keepNext w:val="true"/>
      <w:outlineLvl w:val="1"/>
    </w:pPr>
    <w:rPr>
      <w:rFonts w:ascii="Arial" w:hAnsi="Arial" w:cs="Arial"/>
      <w:sz w:val="24"/>
    </w:rPr>
  </w:style>
  <w:style w:type="paragraph" w:styleId="Heading3">
    <w:name w:val="heading 3"/>
    <w:basedOn w:val="Normal"/>
    <w:next w:val="Normal"/>
    <w:qFormat/>
    <w:pPr>
      <w:keepNext w:val="true"/>
      <w:ind w:hanging="1800" w:start="1800" w:end="0"/>
      <w:outlineLvl w:val="2"/>
    </w:pPr>
    <w:rPr>
      <w:rFonts w:ascii="Arial" w:hAnsi="Arial" w:cs="Arial"/>
      <w:sz w:val="24"/>
    </w:rPr>
  </w:style>
  <w:style w:type="paragraph" w:styleId="Heading4">
    <w:name w:val="heading 4"/>
    <w:basedOn w:val="Normal"/>
    <w:next w:val="Normal"/>
    <w:qFormat/>
    <w:pPr>
      <w:keepNext w:val="true"/>
      <w:outlineLvl w:val="3"/>
    </w:pPr>
    <w:rPr>
      <w:rFonts w:ascii="Arial" w:hAnsi="Arial" w:cs="Arial"/>
      <w:sz w:val="28"/>
    </w:rPr>
  </w:style>
  <w:style w:type="paragraph" w:styleId="Heading5">
    <w:name w:val="heading 5"/>
    <w:basedOn w:val="Normal"/>
    <w:next w:val="Normal"/>
    <w:qFormat/>
    <w:pPr>
      <w:keepNext w:val="true"/>
      <w:keepLines/>
      <w:numPr>
        <w:ilvl w:val="4"/>
        <w:numId w:val="1"/>
      </w:numPr>
      <w:spacing w:lineRule="atLeast" w:line="220" w:before="0" w:after="220"/>
      <w:outlineLvl w:val="4"/>
    </w:pPr>
    <w:rPr>
      <w:rFonts w:ascii="Arial Black" w:hAnsi="Arial Black" w:cs="Arial Black"/>
      <w:spacing w:val="-4"/>
      <w:sz w:val="16"/>
      <w:lang w:eastAsia="en-US"/>
    </w:rPr>
  </w:style>
  <w:style w:type="paragraph" w:styleId="Heading6">
    <w:name w:val="heading 6"/>
    <w:basedOn w:val="Normal"/>
    <w:next w:val="Normal"/>
    <w:qFormat/>
    <w:pPr>
      <w:numPr>
        <w:ilvl w:val="5"/>
        <w:numId w:val="1"/>
      </w:numPr>
      <w:spacing w:before="240" w:after="60"/>
      <w:jc w:val="both"/>
      <w:outlineLvl w:val="5"/>
    </w:pPr>
    <w:rPr>
      <w:i/>
      <w:sz w:val="22"/>
      <w:lang w:eastAsia="en-US"/>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lang w:eastAsia="en-US"/>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lang w:eastAsia="en-US"/>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lang w:eastAsia="en-US"/>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z0">
    <w:name w:val="WW8Num7z0"/>
    <w:qFormat/>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8z8">
    <w:name w:val="WW8Num8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9z0">
    <w:name w:val="WW8Num9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9z1">
    <w:name w:val="WW8Num9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9z2">
    <w:name w:val="WW8Num9z2"/>
    <w:qFormat/>
    <w:rPr>
      <w:rFonts w:ascii="Arial" w:hAnsi="Arial" w:cs="Arial"/>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13z8">
    <w:name w:val="WW8Num13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29z1">
    <w:name w:val="WW8Num29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2z2">
    <w:name w:val="WW8Num3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41z0">
    <w:name w:val="WW8Num41z0"/>
    <w:qFormat/>
    <w:rPr/>
  </w:style>
  <w:style w:type="character" w:styleId="WW8Num42z0">
    <w:name w:val="WW8Num42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2z1">
    <w:name w:val="WW8Num42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3z0">
    <w:name w:val="WW8Num43z0"/>
    <w:qFormat/>
    <w:rPr>
      <w:b w:val="false"/>
      <w:i w:val="false"/>
    </w:rPr>
  </w:style>
  <w:style w:type="character" w:styleId="WW8Num44z0">
    <w:name w:val="WW8Num44z0"/>
    <w:qFormat/>
    <w:rPr/>
  </w:style>
  <w:style w:type="character" w:styleId="WW8Num45z0">
    <w:name w:val="WW8Num45z0"/>
    <w:qFormat/>
    <w:rPr/>
  </w:style>
  <w:style w:type="character" w:styleId="WW8Num47z1">
    <w:name w:val="WW8Num47z1"/>
    <w:qFormat/>
    <w:rPr>
      <w:rFonts w:ascii="Times New Roman" w:hAnsi="Times New Roman" w:cs="Times New Roman"/>
      <w:b w:val="false"/>
      <w:i w:val="false"/>
      <w:sz w:val="24"/>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1z1">
    <w:name w:val="WW8Num5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51z8">
    <w:name w:val="WW8Num51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52z0">
    <w:name w:val="WW8Num52z0"/>
    <w:qFormat/>
    <w:rPr/>
  </w:style>
  <w:style w:type="character" w:styleId="WW8Num54z0">
    <w:name w:val="WW8Num54z0"/>
    <w:qFormat/>
    <w:rPr/>
  </w:style>
  <w:style w:type="character" w:styleId="WW8Num55z0">
    <w:name w:val="WW8Num55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56z0">
    <w:name w:val="WW8Num5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1z0">
    <w:name w:val="WW8Num61z0"/>
    <w:qFormat/>
    <w:rPr/>
  </w:style>
  <w:style w:type="character" w:styleId="WW8Num62z0">
    <w:name w:val="WW8Num62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62z2">
    <w:name w:val="WW8Num6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63z0">
    <w:name w:val="WW8Num63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63z1">
    <w:name w:val="WW8Num63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64z0">
    <w:name w:val="WW8Num64z0"/>
    <w:qFormat/>
    <w:rPr/>
  </w:style>
  <w:style w:type="character" w:styleId="WW8Num65z0">
    <w:name w:val="WW8Num65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65z2">
    <w:name w:val="WW8Num65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66z0">
    <w:name w:val="WW8Num66z0"/>
    <w:qFormat/>
    <w:rPr/>
  </w:style>
  <w:style w:type="character" w:styleId="WW8Num67z0">
    <w:name w:val="WW8Num6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7z1">
    <w:name w:val="WW8Num6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67z8">
    <w:name w:val="WW8Num67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69z0">
    <w:name w:val="WW8Num69z0"/>
    <w:qFormat/>
    <w:rPr/>
  </w:style>
  <w:style w:type="character" w:styleId="WW8NumSt30z1">
    <w:name w:val="WW8NumSt30z1"/>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BodyTextIn">
    <w:name w:val="Body Text In"/>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jc w:val="both"/>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800" w:start="1800" w:end="0"/>
    </w:pPr>
    <w:rPr>
      <w:rFonts w:ascii="Arial" w:hAnsi="Arial" w:cs="Arial"/>
    </w:rPr>
  </w:style>
  <w:style w:type="paragraph" w:styleId="BodyTextIndent2">
    <w:name w:val="Body Text Indent 2"/>
    <w:basedOn w:val="Normal"/>
    <w:qFormat/>
    <w:pPr>
      <w:ind w:hanging="0" w:start="216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2160" w:start="2160" w:end="0"/>
    </w:pPr>
    <w:rPr>
      <w:rFonts w:ascii="Arial" w:hAnsi="Arial" w:cs="Arial"/>
      <w:sz w:val="24"/>
    </w:rPr>
  </w:style>
  <w:style w:type="paragraph" w:styleId="BodyText2">
    <w:name w:val="Body Text 2"/>
    <w:basedOn w:val="Normal"/>
    <w:qFormat/>
    <w:pPr>
      <w:tabs>
        <w:tab w:val="clear" w:pos="720"/>
        <w:tab w:val="left" w:pos="0" w:leader="none"/>
      </w:tabs>
      <w:jc w:val="both"/>
    </w:pPr>
    <w:rPr>
      <w:rFonts w:ascii="Bookman Old Style" w:hAnsi="Bookman Old Style" w:cs="Bookman Old Style"/>
      <w:sz w:val="24"/>
      <w:lang w:val="en-GB"/>
    </w:rPr>
  </w:style>
  <w:style w:type="paragraph" w:styleId="Level1">
    <w:name w:val="Level 1"/>
    <w:basedOn w:val="Normal"/>
    <w:qFormat/>
    <w:pPr>
      <w:widowControl w:val="false"/>
      <w:numPr>
        <w:ilvl w:val="0"/>
        <w:numId w:val="2"/>
      </w:numPr>
      <w:outlineLvl w:val="0"/>
    </w:pPr>
    <w:rPr>
      <w:sz w:val="24"/>
      <w:lang w:eastAsia="en-US"/>
    </w:rPr>
  </w:style>
  <w:style w:type="paragraph" w:styleId="Level2">
    <w:name w:val="Level 2"/>
    <w:basedOn w:val="Normal"/>
    <w:qFormat/>
    <w:pPr>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1"/>
    </w:pPr>
    <w:rPr>
      <w:sz w:val="24"/>
      <w:lang w:eastAsia="en-US"/>
    </w:rPr>
  </w:style>
  <w:style w:type="paragraph" w:styleId="Level3">
    <w:name w:val="Level 3"/>
    <w:basedOn w:val="Normal"/>
    <w:qFormat/>
    <w:pPr>
      <w:numPr>
        <w:ilvl w:val="0"/>
        <w:numId w:val="2"/>
      </w:numPr>
      <w:outlineLvl w:val="2"/>
    </w:pPr>
    <w:rPr>
      <w:sz w:val="24"/>
      <w:lang w:eastAsia="en-US"/>
    </w:rPr>
  </w:style>
  <w:style w:type="paragraph" w:styleId="article3">
    <w:name w:val="article3"/>
    <w:basedOn w:val="Normal"/>
    <w:qFormat/>
    <w:pPr>
      <w:widowControl w:val="false"/>
      <w:numPr>
        <w:ilvl w:val="0"/>
        <w:numId w:val="17"/>
      </w:numPr>
      <w:ind w:firstLine="2160" w:start="0" w:end="0"/>
      <w:outlineLvl w:val="2"/>
    </w:pPr>
    <w:rPr>
      <w:sz w:val="24"/>
      <w:lang w:eastAsia="en-US"/>
    </w:rPr>
  </w:style>
  <w:style w:type="paragraph" w:styleId="article4">
    <w:name w:val="article4"/>
    <w:basedOn w:val="Normal"/>
    <w:qFormat/>
    <w:pPr>
      <w:widowControl w:val="false"/>
      <w:numPr>
        <w:ilvl w:val="0"/>
        <w:numId w:val="17"/>
      </w:numPr>
      <w:ind w:firstLine="2880" w:start="720" w:end="720"/>
      <w:outlineLvl w:val="3"/>
    </w:pPr>
    <w:rPr>
      <w:sz w:val="24"/>
      <w:lang w:eastAsia="en-US"/>
    </w:rPr>
  </w:style>
  <w:style w:type="paragraph" w:styleId="Level11">
    <w:name w:val="Level1"/>
    <w:basedOn w:val="Normal"/>
    <w:qFormat/>
    <w:pPr>
      <w:numPr>
        <w:ilvl w:val="0"/>
        <w:numId w:val="4"/>
      </w:numPr>
    </w:pPr>
    <w:rPr>
      <w:sz w:val="24"/>
      <w:lang w:eastAsia="en-US"/>
    </w:rPr>
  </w:style>
  <w:style w:type="paragraph" w:styleId="Level21">
    <w:name w:val="Level2"/>
    <w:basedOn w:val="Level11"/>
    <w:qFormat/>
    <w:pPr>
      <w:numPr>
        <w:ilvl w:val="0"/>
        <w:numId w:val="4"/>
      </w:numPr>
    </w:pPr>
    <w:rPr/>
  </w:style>
  <w:style w:type="paragraph" w:styleId="Level31">
    <w:name w:val="Level3"/>
    <w:basedOn w:val="Normal"/>
    <w:qFormat/>
    <w:pPr>
      <w:numPr>
        <w:ilvl w:val="0"/>
        <w:numId w:val="4"/>
      </w:numPr>
    </w:pPr>
    <w:rPr>
      <w:sz w:val="24"/>
      <w:lang w:eastAsia="en-US"/>
    </w:rPr>
  </w:style>
  <w:style w:type="paragraph" w:styleId="Level4">
    <w:name w:val="Level4"/>
    <w:basedOn w:val="Level31"/>
    <w:qFormat/>
    <w:pPr>
      <w:numPr>
        <w:ilvl w:val="0"/>
        <w:numId w:val="4"/>
      </w:numPr>
    </w:pPr>
    <w:rPr/>
  </w:style>
  <w:style w:type="paragraph" w:styleId="FootnoteText">
    <w:name w:val="footnote text"/>
    <w:basedOn w:val="Normal"/>
    <w:pPr/>
    <w:rPr>
      <w:sz w:val="24"/>
      <w:lang w:eastAsia="en-US"/>
    </w:rPr>
  </w:style>
  <w:style w:type="paragraph" w:styleId="FooterB">
    <w:name w:val="Footer B"/>
    <w:basedOn w:val="Footer"/>
    <w:qFormat/>
    <w:pPr>
      <w:tabs>
        <w:tab w:val="center" w:pos="4320" w:leader="none"/>
        <w:tab w:val="left" w:pos="8640" w:leader="none"/>
      </w:tabs>
      <w:jc w:val="center"/>
    </w:pPr>
    <w:rPr>
      <w:sz w:val="15"/>
    </w:rPr>
  </w:style>
  <w:style w:type="paragraph" w:styleId="Subtitle">
    <w:name w:val="Subtitle"/>
    <w:basedOn w:val="Normal"/>
    <w:next w:val="BodyText"/>
    <w:qFormat/>
    <w:pPr>
      <w:tabs>
        <w:tab w:val="clear" w:pos="720"/>
        <w:tab w:val="center" w:pos="4500" w:leader="none"/>
      </w:tabs>
      <w:ind w:hanging="0" w:start="0" w:end="-432"/>
      <w:jc w:val="center"/>
    </w:pPr>
    <w:rPr>
      <w:rFonts w:ascii="Arial" w:hAnsi="Arial" w:cs="Arial"/>
      <w:b/>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1999-10-19T15:32:00Z</dcterms:created>
  <dc:creator>khardema</dc:creator>
  <dc:description/>
  <dc:language>en-CA</dc:language>
  <cp:lastModifiedBy>ENRON</cp:lastModifiedBy>
  <cp:lastPrinted>1999-10-13T17:05:00Z</cp:lastPrinted>
  <dcterms:modified xsi:type="dcterms:W3CDTF">1999-10-19T15:32:00Z</dcterms:modified>
  <cp:revision>2</cp:revision>
  <dc:subject/>
  <dc:title>LNG Purchase Proposal</dc:title>
</cp:coreProperties>
</file>