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May 17, 2001</w:t>
      </w:r>
    </w:p>
    <w:p>
      <w:pPr>
        <w:pStyle w:val="Normal"/>
        <w:rPr/>
      </w:pPr>
      <w:r>
        <w:rPr/>
      </w:r>
    </w:p>
    <w:p>
      <w:pPr>
        <w:pStyle w:val="Heading5"/>
        <w:rPr/>
      </w:pPr>
      <w:r>
        <w:rPr/>
      </w:r>
    </w:p>
    <w:p>
      <w:pPr>
        <w:pStyle w:val="Normal"/>
        <w:rPr/>
      </w:pPr>
      <w:r>
        <w:rPr/>
      </w:r>
    </w:p>
    <w:p>
      <w:pPr>
        <w:pStyle w:val="Normal"/>
        <w:rPr/>
      </w:pPr>
      <w:r>
        <w:rPr/>
        <w:t>EGP Fuels Company</w:t>
      </w:r>
    </w:p>
    <w:p>
      <w:pPr>
        <w:pStyle w:val="Normal"/>
        <w:rPr/>
      </w:pPr>
      <w:r>
        <w:rPr/>
        <w:t>1400 Smith Street</w:t>
      </w:r>
    </w:p>
    <w:p>
      <w:pPr>
        <w:pStyle w:val="Normal"/>
        <w:rPr/>
      </w:pPr>
      <w:r>
        <w:rPr/>
        <w:t>Houston, Texas 77002</w:t>
      </w:r>
    </w:p>
    <w:p>
      <w:pPr>
        <w:pStyle w:val="Normal"/>
        <w:rPr/>
      </w:pPr>
      <w:r>
        <w:rPr/>
      </w:r>
    </w:p>
    <w:p>
      <w:pPr>
        <w:pStyle w:val="Normal"/>
        <w:rPr/>
      </w:pPr>
      <w:r>
        <w:rPr/>
      </w:r>
    </w:p>
    <w:p>
      <w:pPr>
        <w:pStyle w:val="Heading4"/>
        <w:ind w:hanging="0" w:start="0"/>
        <w:rPr>
          <w:rFonts w:ascii="Times New Roman" w:hAnsi="Times New Roman" w:cs="Times New Roman"/>
          <w:sz w:val="24"/>
        </w:rPr>
      </w:pPr>
      <w:r>
        <w:rPr>
          <w:rFonts w:cs="Times New Roman" w:ascii="Times New Roman" w:hAnsi="Times New Roman"/>
          <w:sz w:val="24"/>
        </w:rPr>
        <w:t>Re: Agreement to Temporarily Interconnect and Operate Natural Gas Pipeline Facilities</w:t>
      </w:r>
    </w:p>
    <w:p>
      <w:pPr>
        <w:pStyle w:val="Normal"/>
        <w:widowControl/>
        <w:rPr>
          <w:rFonts w:ascii="Times New Roman" w:hAnsi="Times New Roman" w:cs="Times New Roman"/>
          <w:sz w:val="24"/>
        </w:rPr>
      </w:pPr>
      <w:r>
        <w:rPr>
          <w:rFonts w:cs="Times New Roman"/>
          <w:sz w:val="24"/>
        </w:rPr>
      </w:r>
    </w:p>
    <w:p>
      <w:pPr>
        <w:pStyle w:val="Normal"/>
        <w:widowControl/>
        <w:rPr/>
      </w:pPr>
      <w:r>
        <w:rPr/>
      </w:r>
    </w:p>
    <w:p>
      <w:pPr>
        <w:pStyle w:val="Normal"/>
        <w:ind w:firstLine="720" w:end="720"/>
        <w:jc w:val="both"/>
        <w:rPr/>
      </w:pPr>
      <w:r>
        <w:rPr/>
        <w:t xml:space="preserve">This letter agreement (this "Agreement") sets forth the agreement of EGP FUELS COMPANY, a Delaware corporation, ("EGP"), and HOUSTON PIPE LINE COMPANY, a Delaware corporation, ("HPL") addressing certain details relating to EGP and HPL’s mutual desire to install and operate a temporary 4” natural gas pipeline located on HPL’s existing 4” 4023 Lobit Street Line to deliver natural gas to the EGP pipeline from the HPL pipeline.  (EGP and HPL are sometimes referred to individually as "Party" and collectively as "Parties").  The purpose of this interconnect is to allow for temporary deliveries of gas from HPL to EGP during the 30” AS Line outage.  The parties hereby agree that in no event shall such gas deliveries exceed a period of 30 days from the date of initial gas flow at the temporary interconnect.  After such gas deliveries from HPL are completed, the temporary Interconnect shall be dismantled and removed in accordance with the terms and conditions hereof.  </w:t>
      </w:r>
    </w:p>
    <w:p>
      <w:pPr>
        <w:pStyle w:val="Normal"/>
        <w:ind w:firstLine="720" w:end="720"/>
        <w:jc w:val="both"/>
        <w:rPr/>
      </w:pPr>
      <w:r>
        <w:rPr/>
      </w:r>
    </w:p>
    <w:p>
      <w:pPr>
        <w:pStyle w:val="Normal"/>
        <w:ind w:firstLine="720" w:end="720"/>
        <w:jc w:val="both"/>
        <w:rPr/>
      </w:pPr>
      <w:r>
        <w:rPr/>
        <w:t>The interconnect shall consist of a two (2) 4-inch valves, and approximately 180 feet of 4-inch crossover pipelines required for the physical delivery of natural gas from the HPL pipeline to the EGP pipeline (the "</w:t>
      </w:r>
      <w:r>
        <w:rPr>
          <w:u w:val="single"/>
        </w:rPr>
        <w:t>Interconnect</w:t>
      </w:r>
      <w:r>
        <w:rPr/>
        <w:t>").  The Interconnect will consist of the EGP Facilities and the HPL Facilities, as defined below.  HPL shall own and operate that portion of the Interconnect located on HPL’s side of the flange designated as the point of custody transfer on Exhibit “A” attached hereto (the “</w:t>
      </w:r>
      <w:r>
        <w:rPr>
          <w:u w:val="single"/>
        </w:rPr>
        <w:t>Custody Transfer Flang</w:t>
      </w:r>
      <w:r>
        <w:rPr/>
        <w:t xml:space="preserve">e”), which shall include the two (2) </w:t>
      </w:r>
      <w:r>
        <w:rPr>
          <w:color w:val="000000"/>
        </w:rPr>
        <w:t xml:space="preserve">4-inch valves and the approximately 180 feet of 4-inch crossover pipelines </w:t>
      </w:r>
      <w:r>
        <w:rPr/>
        <w:t>(the "</w:t>
      </w:r>
      <w:r>
        <w:rPr>
          <w:u w:val="single"/>
        </w:rPr>
        <w:t>HPL Facilities</w:t>
      </w:r>
      <w:r>
        <w:rPr/>
        <w:t>")</w:t>
      </w:r>
      <w:r>
        <w:rPr>
          <w:color w:val="000000"/>
        </w:rPr>
        <w:t xml:space="preserve">.  </w:t>
      </w:r>
      <w:r>
        <w:rPr/>
        <w:t>Midcon shall own and HPL shall operate that portion of the Interconnect located on EGP’s side of the Custody Transfer Flange (the "</w:t>
      </w:r>
      <w:r>
        <w:rPr>
          <w:u w:val="single"/>
        </w:rPr>
        <w:t>EGP Facilities</w:t>
      </w:r>
      <w:r>
        <w:rPr/>
        <w:t xml:space="preserve">").  </w:t>
      </w:r>
    </w:p>
    <w:p>
      <w:pPr>
        <w:pStyle w:val="Normal"/>
        <w:ind w:firstLine="720" w:end="720"/>
        <w:jc w:val="both"/>
        <w:rPr/>
      </w:pPr>
      <w:r>
        <w:rPr/>
      </w:r>
    </w:p>
    <w:p>
      <w:pPr>
        <w:pStyle w:val="Normal"/>
        <w:ind w:firstLine="720" w:end="720"/>
        <w:jc w:val="both"/>
        <w:rPr/>
      </w:pPr>
      <w:r>
        <w:rPr/>
        <w:t>The HPL Facilities shall be designed, installed, and constructed by HPL or its designee in accordance with Engineering Standards as adopted by Enron Operations Corp., as the same may be amended or supplemented from time to time (the “</w:t>
      </w:r>
      <w:r>
        <w:rPr>
          <w:u w:val="single"/>
        </w:rPr>
        <w:t>Standards</w:t>
      </w:r>
      <w:r>
        <w:rPr/>
        <w:t xml:space="preserve">”). The EGP Facilities shall be designed, installed and constructed by EGP in accordance with sound and prudent natural gas industry practice.  The Parties shall arrange a mutually agreeable schedule for the tie-in of the Interconnect with the HPL pipeline and the EGP pipeline. </w:t>
      </w:r>
    </w:p>
    <w:p>
      <w:pPr>
        <w:pStyle w:val="Normal"/>
        <w:ind w:firstLine="720" w:end="720"/>
        <w:jc w:val="both"/>
        <w:rPr/>
      </w:pPr>
      <w:r>
        <w:rPr/>
      </w:r>
    </w:p>
    <w:p>
      <w:pPr>
        <w:pStyle w:val="Normal"/>
        <w:ind w:firstLine="720" w:end="720"/>
        <w:jc w:val="both"/>
        <w:rPr/>
      </w:pPr>
      <w:r>
        <w:rPr/>
        <w:t xml:space="preserve">After the deliveries of natural gas from HPL to EGP are complete, the temporary Interconnect shall be dismantled and removed by HPL.  </w:t>
      </w:r>
    </w:p>
    <w:p>
      <w:pPr>
        <w:pStyle w:val="Normal"/>
        <w:ind w:firstLine="720" w:end="720"/>
        <w:jc w:val="both"/>
        <w:rPr/>
      </w:pPr>
      <w:r>
        <w:rPr/>
      </w:r>
    </w:p>
    <w:p>
      <w:pPr>
        <w:pStyle w:val="Normal"/>
        <w:ind w:firstLine="720" w:end="720"/>
        <w:jc w:val="both"/>
        <w:rPr/>
      </w:pPr>
      <w:r>
        <w:rPr/>
        <w:t xml:space="preserve">EGP shall reimburse HPL for all direct and indirect costs associated with the design, installation, procurement, and construction of the HPL Facilities, including IRS tax gross-up.  EGP shall also reimburse HPL for all direct and indirect costs associated with the dismantling, removal and transport of the temporary Interconnect equipment upon termination of this Agreement.  HPL has estimated the costs for the HPL Facilities as described in Exhibit “B” attached hereto.  Such estimate is provided by HPL solely for informational purposes only and EGP shall pay HPL for all direct and indirect costs associated with the design, installation, procurement, construction, dismantling, removal and transport of the HPL Facilities.  HPL shall invoice EGP for such costs and EGP shall pay such invoice within 15 days of EGP’s receipt thereof.  </w:t>
      </w:r>
    </w:p>
    <w:p>
      <w:pPr>
        <w:pStyle w:val="Normal"/>
        <w:ind w:firstLine="720" w:end="720"/>
        <w:jc w:val="both"/>
        <w:rPr/>
      </w:pPr>
      <w:r>
        <w:rPr/>
      </w:r>
    </w:p>
    <w:p>
      <w:pPr>
        <w:pStyle w:val="BodyTextIndent"/>
        <w:rPr/>
      </w:pPr>
      <w:r>
        <w:rPr/>
        <w:t xml:space="preserve">HPL or its designee shall obtain all clearances, permits, licenses, authorizations, easements and other land rights that may be needed for the construction, installation, maintenance, and operation of the HPL Facilities.  EGP or its designee shall obtain all clearances, permits, licenses, authorizations, easements and other land rights that may be needed for the construction, installation, maintenance, and operation of the EGP Facilities.  The Parties and/or their designees shall have access to each other's facilities at all reasonable times. </w:t>
      </w:r>
    </w:p>
    <w:p>
      <w:pPr>
        <w:pStyle w:val="Normal"/>
        <w:ind w:firstLine="720" w:end="720"/>
        <w:jc w:val="both"/>
        <w:rPr/>
      </w:pPr>
      <w:r>
        <w:rPr/>
      </w:r>
    </w:p>
    <w:p>
      <w:pPr>
        <w:pStyle w:val="Normal"/>
        <w:ind w:firstLine="720" w:end="720"/>
        <w:jc w:val="both"/>
        <w:rPr/>
      </w:pPr>
      <w:r>
        <w:rPr/>
        <w:t xml:space="preserve">HPL shall operate and maintain the HPL Facilities in accordance with the Standards and with sound and prudent natural gas pipeline industry practice and shall be fully responsible for the operation and maintenance thereof and for all cost, expense and risk associated therewith.  EGP shall operate the EGP Facilities in accordance with sound and prudent natural gas industry practice and shall be fully responsible for the routine operation and maintenance thereof and for all cost and expense associated therewith.  </w:t>
      </w:r>
    </w:p>
    <w:p>
      <w:pPr>
        <w:pStyle w:val="Normal"/>
        <w:ind w:firstLine="720" w:end="720"/>
        <w:jc w:val="both"/>
        <w:rPr/>
      </w:pPr>
      <w:r>
        <w:rPr/>
      </w:r>
    </w:p>
    <w:p>
      <w:pPr>
        <w:pStyle w:val="Normal"/>
        <w:ind w:firstLine="720" w:end="720"/>
        <w:jc w:val="both"/>
        <w:rPr/>
      </w:pPr>
      <w:r>
        <w:rPr/>
        <w:t xml:space="preserve">HPL shall deliver the gas to the EGP pipeline at pressures existing from time to time in the HPL pipeline.  </w:t>
      </w:r>
    </w:p>
    <w:p>
      <w:pPr>
        <w:pStyle w:val="Normal"/>
        <w:ind w:firstLine="720" w:end="720"/>
        <w:jc w:val="both"/>
        <w:rPr/>
      </w:pPr>
      <w:r>
        <w:rPr/>
      </w:r>
    </w:p>
    <w:p>
      <w:pPr>
        <w:pStyle w:val="Normal"/>
        <w:ind w:firstLine="720" w:end="720"/>
        <w:jc w:val="both"/>
        <w:rPr/>
      </w:pPr>
      <w:r>
        <w:rPr/>
        <w:t>The Interconnect shall be constructed, installed, operated and maintained in compliance with all valid laws, orders, directives, rules and regulations of governmental authorities having jurisdiction.</w:t>
      </w:r>
    </w:p>
    <w:p>
      <w:pPr>
        <w:pStyle w:val="Normal"/>
        <w:ind w:firstLine="720" w:end="720"/>
        <w:jc w:val="both"/>
        <w:rPr/>
      </w:pPr>
      <w:r>
        <w:rPr/>
      </w:r>
    </w:p>
    <w:p>
      <w:pPr>
        <w:pStyle w:val="Normal"/>
        <w:ind w:firstLine="720" w:end="720"/>
        <w:jc w:val="both"/>
        <w:rPr/>
      </w:pPr>
      <w:r>
        <w:rPr/>
        <w:t xml:space="preserve">This agreement shall be effective as of the date first above written and shall terminate immediately upon completion of removal of the equipment of the temporary Interconnect. </w:t>
      </w:r>
    </w:p>
    <w:p>
      <w:pPr>
        <w:pStyle w:val="Normal"/>
        <w:ind w:firstLine="720" w:end="720"/>
        <w:jc w:val="both"/>
        <w:rPr/>
      </w:pPr>
      <w:r>
        <w:rPr/>
      </w:r>
    </w:p>
    <w:p>
      <w:pPr>
        <w:pStyle w:val="Normal"/>
        <w:ind w:firstLine="720" w:end="720"/>
        <w:jc w:val="both"/>
        <w:rPr>
          <w:b/>
        </w:rPr>
      </w:pPr>
      <w:r>
        <w:rPr>
          <w:b/>
        </w:rPr>
        <w:t>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Normal"/>
        <w:ind w:firstLine="720" w:end="720"/>
        <w:jc w:val="both"/>
        <w:rPr>
          <w:b/>
        </w:rPr>
      </w:pPr>
      <w:r>
        <w:rPr>
          <w:b/>
        </w:rPr>
      </w:r>
    </w:p>
    <w:p>
      <w:pPr>
        <w:pStyle w:val="Normal"/>
        <w:ind w:firstLine="720" w:end="720"/>
        <w:jc w:val="both"/>
        <w:rPr>
          <w:b/>
        </w:rPr>
      </w:pPr>
      <w:r>
        <w:rPr>
          <w:b/>
        </w:rPr>
        <w:t>THIS AGREEMENT SHALL BE GOVERNED BY AND CONSTRUED IN ACCORDANCE WITH THE LAWS OF THE STATE OF TEXAS.</w:t>
      </w:r>
    </w:p>
    <w:p>
      <w:pPr>
        <w:pStyle w:val="Normal"/>
        <w:ind w:firstLine="720" w:end="720"/>
        <w:jc w:val="both"/>
        <w:rPr>
          <w:b/>
        </w:rPr>
      </w:pPr>
      <w:r>
        <w:rPr>
          <w:b/>
        </w:rPr>
      </w:r>
    </w:p>
    <w:p>
      <w:pPr>
        <w:pStyle w:val="Normal"/>
        <w:ind w:firstLine="720" w:end="720"/>
        <w:jc w:val="both"/>
        <w:rPr/>
      </w:pPr>
      <w:r>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b/>
        </w:rPr>
        <w:t xml:space="preserve"> "</w:t>
      </w:r>
      <w:r>
        <w:rPr>
          <w:b/>
          <w:i/>
        </w:rPr>
        <w:t>Force Majeure</w:t>
      </w:r>
      <w:r>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Normal"/>
        <w:ind w:firstLine="720" w:end="720"/>
        <w:jc w:val="both"/>
        <w:rPr/>
      </w:pPr>
      <w:r>
        <w:rPr/>
      </w:r>
    </w:p>
    <w:p>
      <w:pPr>
        <w:pStyle w:val="Normal"/>
        <w:ind w:firstLine="720" w:end="720"/>
        <w:jc w:val="both"/>
        <w:rPr/>
      </w:pPr>
      <w:r>
        <w:rPr/>
        <w:t>Any dispute relating to this Assignment shall be resolved by binding arbitration pursuant to the Commercial Arbitration Rules of the American Arbitration Association ("</w:t>
      </w:r>
      <w:r>
        <w:rPr>
          <w:u w:val="single"/>
        </w:rPr>
        <w:t>AAA</w:t>
      </w:r>
      <w:r>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 </w:t>
      </w:r>
    </w:p>
    <w:p>
      <w:pPr>
        <w:pStyle w:val="Normal"/>
        <w:widowControl/>
        <w:ind w:end="720"/>
        <w:jc w:val="both"/>
        <w:rPr/>
      </w:pPr>
      <w:r>
        <w:rPr/>
      </w:r>
    </w:p>
    <w:p>
      <w:pPr>
        <w:pStyle w:val="Normal"/>
        <w:widowControl/>
        <w:ind w:end="720"/>
        <w:jc w:val="both"/>
        <w:rPr/>
      </w:pPr>
      <w:r>
        <w:rPr/>
      </w:r>
    </w:p>
    <w:p>
      <w:pPr>
        <w:pStyle w:val="Normal"/>
        <w:widowControl/>
        <w:ind w:end="720"/>
        <w:jc w:val="both"/>
        <w:rPr/>
      </w:pPr>
      <w:r>
        <w:rPr/>
      </w:r>
    </w:p>
    <w:p>
      <w:pPr>
        <w:pStyle w:val="Normal"/>
        <w:widowControl/>
        <w:jc w:val="center"/>
        <w:rPr/>
      </w:pPr>
      <w:r>
        <w:rPr/>
        <w:t>[signatures on next page]</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ind w:start="4500" w:end="0"/>
        <w:jc w:val="both"/>
        <w:rPr/>
      </w:pPr>
      <w:r>
        <w:rPr/>
        <w:tab/>
        <w:t>Sincerely,</w:t>
      </w:r>
    </w:p>
    <w:p>
      <w:pPr>
        <w:pStyle w:val="Normal"/>
        <w:jc w:val="both"/>
        <w:rPr/>
      </w:pPr>
      <w:r>
        <w:rPr/>
      </w:r>
    </w:p>
    <w:p>
      <w:pPr>
        <w:pStyle w:val="BodyText2"/>
        <w:rPr>
          <w:sz w:val="24"/>
        </w:rPr>
      </w:pPr>
      <w:r>
        <w:rPr>
          <w:sz w:val="24"/>
        </w:rPr>
        <w:tab/>
        <w:tab/>
        <w:tab/>
        <w:tab/>
        <w:tab/>
        <w:tab/>
        <w:tab/>
      </w:r>
      <w:r>
        <w:rPr>
          <w:b/>
          <w:sz w:val="24"/>
        </w:rPr>
        <w:t>HOUSTON PIPE LINE COMPANY</w:t>
      </w:r>
    </w:p>
    <w:p>
      <w:pPr>
        <w:pStyle w:val="BodyText2"/>
        <w:rPr>
          <w:sz w:val="24"/>
        </w:rPr>
      </w:pPr>
      <w:r>
        <w:rPr>
          <w:sz w:val="24"/>
        </w:rPr>
      </w:r>
    </w:p>
    <w:p>
      <w:pPr>
        <w:pStyle w:val="Normal"/>
        <w:tabs>
          <w:tab w:val="clear" w:pos="720"/>
          <w:tab w:val="left" w:pos="4320" w:leader="none"/>
        </w:tabs>
        <w:jc w:val="both"/>
        <w:rPr/>
      </w:pPr>
      <w:r>
        <w:rPr/>
        <w:tab/>
        <w:tab/>
        <w:t>____________________________</w:t>
      </w:r>
    </w:p>
    <w:p>
      <w:pPr>
        <w:pStyle w:val="Normal"/>
        <w:tabs>
          <w:tab w:val="clear" w:pos="720"/>
          <w:tab w:val="left" w:pos="4320" w:leader="none"/>
        </w:tabs>
        <w:jc w:val="both"/>
        <w:rPr/>
      </w:pPr>
      <w:r>
        <w:rPr/>
        <w:tab/>
        <w:tab/>
        <w:t>By:  _______________________________</w:t>
      </w:r>
    </w:p>
    <w:p>
      <w:pPr>
        <w:pStyle w:val="Normal"/>
        <w:tabs>
          <w:tab w:val="clear" w:pos="720"/>
          <w:tab w:val="left" w:pos="4320" w:leader="none"/>
        </w:tabs>
        <w:jc w:val="both"/>
        <w:rPr/>
      </w:pPr>
      <w:r>
        <w:rPr/>
        <w:tab/>
        <w:tab/>
        <w:t>Title:  ______________________________</w:t>
      </w:r>
    </w:p>
    <w:p>
      <w:pPr>
        <w:pStyle w:val="Normal"/>
        <w:tabs>
          <w:tab w:val="clear" w:pos="720"/>
          <w:tab w:val="left" w:pos="4320" w:leader="none"/>
        </w:tabs>
        <w:jc w:val="both"/>
        <w:rPr/>
      </w:pPr>
      <w:r>
        <w:rPr/>
      </w:r>
    </w:p>
    <w:p>
      <w:pPr>
        <w:pStyle w:val="Normal"/>
        <w:tabs>
          <w:tab w:val="clear" w:pos="720"/>
          <w:tab w:val="left" w:pos="4320" w:leader="none"/>
        </w:tabs>
        <w:jc w:val="both"/>
        <w:rPr/>
      </w:pPr>
      <w:r>
        <w:rPr/>
      </w:r>
    </w:p>
    <w:p>
      <w:pPr>
        <w:pStyle w:val="Normal"/>
        <w:tabs>
          <w:tab w:val="clear" w:pos="720"/>
          <w:tab w:val="left" w:pos="4320" w:leader="none"/>
        </w:tabs>
        <w:jc w:val="both"/>
        <w:rPr/>
      </w:pPr>
      <w:r>
        <w:rPr/>
      </w:r>
    </w:p>
    <w:p>
      <w:pPr>
        <w:pStyle w:val="Normal"/>
        <w:jc w:val="both"/>
        <w:rPr/>
      </w:pPr>
      <w:r>
        <w:rPr/>
        <w:t>AGREED TO this __ day of May, 2001.</w:t>
      </w:r>
    </w:p>
    <w:p>
      <w:pPr>
        <w:pStyle w:val="Normal"/>
        <w:jc w:val="both"/>
        <w:rPr/>
      </w:pPr>
      <w:r>
        <w:rPr/>
      </w:r>
    </w:p>
    <w:p>
      <w:pPr>
        <w:pStyle w:val="BodyText2"/>
        <w:rPr>
          <w:sz w:val="24"/>
        </w:rPr>
      </w:pPr>
      <w:r>
        <w:rPr>
          <w:b/>
          <w:sz w:val="24"/>
        </w:rPr>
        <w:t>EGP FUELS COMPANY</w:t>
      </w:r>
    </w:p>
    <w:p>
      <w:pPr>
        <w:pStyle w:val="Normal"/>
        <w:tabs>
          <w:tab w:val="clear" w:pos="720"/>
          <w:tab w:val="left" w:pos="4320" w:leader="none"/>
        </w:tabs>
        <w:jc w:val="both"/>
        <w:rPr>
          <w:sz w:val="24"/>
        </w:rPr>
      </w:pPr>
      <w:r>
        <w:rPr>
          <w:sz w:val="24"/>
        </w:rPr>
      </w:r>
    </w:p>
    <w:p>
      <w:pPr>
        <w:pStyle w:val="Normal"/>
        <w:tabs>
          <w:tab w:val="clear" w:pos="720"/>
          <w:tab w:val="left" w:pos="4320" w:leader="none"/>
        </w:tabs>
        <w:jc w:val="both"/>
        <w:rPr/>
      </w:pPr>
      <w:r>
        <w:rPr/>
        <w:t>___________________________________</w:t>
      </w:r>
    </w:p>
    <w:p>
      <w:pPr>
        <w:pStyle w:val="Normal"/>
        <w:tabs>
          <w:tab w:val="clear" w:pos="720"/>
          <w:tab w:val="left" w:pos="4320" w:leader="none"/>
        </w:tabs>
        <w:jc w:val="both"/>
        <w:rPr/>
      </w:pPr>
      <w:r>
        <w:rPr/>
        <w:t>By:  _______________________________</w:t>
      </w:r>
    </w:p>
    <w:p>
      <w:pPr>
        <w:pStyle w:val="Normal"/>
        <w:tabs>
          <w:tab w:val="clear" w:pos="720"/>
          <w:tab w:val="left" w:pos="4320" w:leader="none"/>
        </w:tabs>
        <w:jc w:val="both"/>
        <w:rPr/>
      </w:pPr>
      <w:r>
        <w:rPr/>
        <w:t>Title:  ______________________________</w:t>
      </w:r>
    </w:p>
    <w:p>
      <w:pPr>
        <w:pStyle w:val="Normal"/>
        <w:widowControl/>
        <w:jc w:val="both"/>
        <w:rPr>
          <w:rFonts w:ascii="Arial Narrow" w:hAnsi="Arial Narrow" w:cs="Arial Narrow"/>
          <w:sz w:val="18"/>
        </w:rPr>
      </w:pPr>
      <w:r>
        <w:rPr>
          <w:rFonts w:cs="Arial Narrow" w:ascii="Arial Narrow" w:hAnsi="Arial Narrow"/>
          <w:sz w:val="18"/>
        </w:rPr>
      </w:r>
    </w:p>
    <w:sectPr>
      <w:footerReference w:type="default" r:id="rId2"/>
      <w:type w:val="nextPage"/>
      <w:pgSz w:w="12240" w:h="15840"/>
      <w:pgMar w:left="1440" w:right="1440" w:gutter="0" w:header="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LetterICA_MTBE.doc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widowControl/>
      <w:numPr>
        <w:ilvl w:val="3"/>
        <w:numId w:val="1"/>
      </w:numPr>
      <w:outlineLvl w:val="3"/>
    </w:pPr>
    <w:rPr>
      <w:rFonts w:ascii="Arial Narrow" w:hAnsi="Arial Narrow" w:cs="Arial Narrow"/>
      <w:b/>
      <w:sz w:val="18"/>
    </w:rPr>
  </w:style>
  <w:style w:type="paragraph" w:styleId="Heading5">
    <w:name w:val="heading 5"/>
    <w:basedOn w:val="Normal"/>
    <w:next w:val="Normal"/>
    <w:qFormat/>
    <w:pPr>
      <w:keepNext w:val="true"/>
      <w:numPr>
        <w:ilvl w:val="4"/>
        <w:numId w:val="1"/>
      </w:numPr>
      <w:ind w:hanging="0" w:start="0" w:end="720"/>
      <w:jc w:val="end"/>
      <w:outlineLvl w:val="4"/>
    </w:pPr>
    <w:rPr>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widowControl/>
      <w:jc w:val="both"/>
    </w:pPr>
    <w:rPr>
      <w:sz w:val="20"/>
    </w:rPr>
  </w:style>
  <w:style w:type="paragraph" w:styleId="BodyTextIndent">
    <w:name w:val="Body Text Indent"/>
    <w:basedOn w:val="Normal"/>
    <w:pPr>
      <w:ind w:firstLine="720" w:start="0" w:end="720"/>
      <w:jc w:val="both"/>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2001-05-08T11:52:00Z</dcterms:created>
  <dc:creator>ECT</dc:creator>
  <dc:description/>
  <dc:language>en-CA</dc:language>
  <cp:lastModifiedBy>gnemec</cp:lastModifiedBy>
  <cp:lastPrinted>2000-04-19T14:29:00Z</cp:lastPrinted>
  <dcterms:modified xsi:type="dcterms:W3CDTF">2001-05-17T19:25:00Z</dcterms:modified>
  <cp:revision>8</cp:revision>
  <dc:subject/>
  <dc:title>Letter format</dc:title>
</cp:coreProperties>
</file>