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pPr>
      <w:r>
        <w:rPr/>
      </w:r>
      <w:bookmarkStart w:id="0" w:name="QuickMark"/>
      <w:bookmarkStart w:id="1" w:name="QuickMark"/>
      <w:bookmarkEnd w:id="1"/>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7" w:end="0"/>
        <w:jc w:val="both"/>
        <w:rPr/>
      </w:pPr>
      <w:r>
        <w:rPr/>
        <w:t>April    , 2001</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NorthWestern Generation I, LLC</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[Address of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s>
        <w:ind w:hanging="721" w:start="2163" w:end="1442"/>
        <w:jc w:val="both"/>
        <w:rPr/>
      </w:pPr>
      <w:r>
        <w:rPr/>
        <w:t>Re:</w:t>
        <w:tab/>
        <w:t>Purchase of Membership Interests in [name of LLC], a Delaware limited liability company that is wholly-owned by Enron North America Corp. and will be the purchaser of two General Electric 7EA combustion turbine generator sets under and pursuant to an agreement with General Electric Company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Ladies and Gentlemen: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[Name of Turbine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(the “</w:t>
      </w:r>
      <w:r>
        <w:rPr>
          <w:u w:val="single"/>
        </w:rPr>
        <w:t>Original Turbine Contract</w:t>
      </w:r>
      <w:r>
        <w:rPr/>
        <w:t xml:space="preserve">”) by and between [Name of Purchaser], as purchaser (the </w:t>
      </w:r>
      <w:r>
        <w:rPr>
          <w:u w:val="single"/>
        </w:rPr>
        <w:t>Original Purchaser</w:t>
      </w:r>
      <w:r>
        <w:rPr/>
        <w:t>”), [Name of Agent],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As of the date of this Agreement, (i) the LLC is wholly-owned by ENA, (ii) one of the Turbines has been delivered under the Original Turbine Contract and has been placed in storage at a storage facility owned by GE and located at ____________ (such Turbine being referred to herein as the “</w:t>
      </w:r>
      <w:r>
        <w:rPr>
          <w:u w:val="single"/>
        </w:rPr>
        <w:t>First Turbine</w:t>
      </w:r>
      <w:r>
        <w:rPr/>
        <w:t>”), and (ii) the other Turbine is scheduled to be delivered under the Original Turbine Contract on _________, 2002 (such Turbine being referred to herein as the “</w:t>
      </w:r>
      <w:r>
        <w:rPr>
          <w:u w:val="single"/>
        </w:rPr>
        <w:t>Second Turbine</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Defined Terms</w:t>
      </w:r>
      <w:r>
        <w:rPr/>
        <w:t>.  As used in this Agreement, and unless expressly indicated, or unless the context clearly requires otherwise: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terms “</w:t>
      </w:r>
      <w:r>
        <w:rPr>
          <w:u w:val="single"/>
        </w:rPr>
        <w:t>Change Orders</w:t>
      </w:r>
      <w:r>
        <w:rPr/>
        <w:t>”, “</w:t>
      </w:r>
      <w:r>
        <w:rPr>
          <w:u w:val="single"/>
        </w:rPr>
        <w:t>Guaranteed Unit Shipment Dates</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Specification</w:t>
      </w:r>
      <w:r>
        <w:rPr/>
        <w:t>” and “</w:t>
      </w:r>
      <w:r>
        <w:rPr>
          <w:u w:val="single"/>
        </w:rPr>
        <w:t>Take Over</w:t>
      </w:r>
      <w:r>
        <w:rPr/>
        <w:t>” have the meanings assigned to those terms in the Original Turbine Contract.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following terms shall have the following meanings (such meanings to be equally applicable to both the singular and plural forms of the terms defined):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AAA</w:t>
      </w:r>
      <w:r>
        <w:rPr/>
        <w:t>” means the American Arbitration Association.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Action</w:t>
      </w:r>
      <w:r>
        <w:rPr/>
        <w:t>” means an action, suit, proceeding, governmental investigation, governmental notice of violation, governmental inquiry or arbitration proceeding.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Additional Purchase Price Deposit</w:t>
      </w:r>
      <w:r>
        <w:rPr/>
        <w:t>” has the meaning assigned to that term in Section 5(d)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Claim</w:t>
      </w:r>
      <w:r>
        <w:rPr/>
        <w:t>” has the meaning assigned to that term in Section 20(c)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Closing</w:t>
      </w:r>
      <w:r>
        <w:rPr/>
        <w:t>” has the meaning assigned to that term in Section 2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Closing Date</w:t>
      </w:r>
      <w:r>
        <w:rPr/>
        <w:t>” means the date on which the Closing actually occurs.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Closing Notice</w:t>
      </w:r>
      <w:r>
        <w:rPr/>
        <w:t>” has the meaning assigned to that term in Section 3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Confidential Information</w:t>
      </w:r>
      <w:r>
        <w:rPr/>
        <w:t>” has the meaning assigned to that term in Section 11(a)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Dispute</w:t>
      </w:r>
      <w:r>
        <w:rPr/>
        <w:t>” has the meaning assigned to that term in Section 22(a)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ENA Indemnified Parties</w:t>
      </w:r>
      <w:r>
        <w:rPr/>
        <w:t>” has the meaning assigned to that term in Section 20(a)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ENA Promissory Note</w:t>
      </w:r>
      <w:r>
        <w:rPr/>
        <w:t>” has the meaning assigned to that term in Section 2(a)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Escrow Account</w:t>
      </w:r>
      <w:r>
        <w:rPr/>
        <w:t>” has the meaning assigned to that term in Section 4(a)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Escrow Agent</w:t>
      </w:r>
      <w:r>
        <w:rPr/>
        <w:t>” has the meaning assigned to that term in Section 4(a)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Escrow Agreement</w:t>
      </w:r>
      <w:r>
        <w:rPr/>
        <w:t>” has the meaning assigned to that term in Section 4(a)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Estimated Cost</w:t>
      </w:r>
      <w:r>
        <w:rPr/>
        <w:t>” has the meaning assigned to that term in Section 6(h)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Excess Cost</w:t>
      </w:r>
      <w:r>
        <w:rPr/>
        <w:t>” has the meaning assigned to that term in Section 6(h)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Foreign Acts</w:t>
      </w:r>
      <w:r>
        <w:rPr/>
        <w:t>” has the meaning assigned to that term in Section 12(c)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Indemnified Party</w:t>
      </w:r>
      <w:r>
        <w:rPr/>
        <w:t>” has the meaning assigned to that term in Section 20(c)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Indemnitor</w:t>
      </w:r>
      <w:r>
        <w:rPr/>
        <w:t>” has the meaning assigned to that term in Section 20(c)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Initial Purchase Price Deposit</w:t>
      </w:r>
      <w:r>
        <w:rPr/>
        <w:t>” has the meaning assigned to that term in Section 5(b)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LLC Agreement</w:t>
      </w:r>
      <w:r>
        <w:rPr/>
        <w:t>” has the meaning assigned to that term in Section 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NorSub Indemnified Parties</w:t>
      </w:r>
      <w:r>
        <w:rPr/>
        <w:t>” has the meaning assigned to that term in Section 20(b)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NorSub Cash Contribution</w:t>
      </w:r>
      <w:r>
        <w:rPr/>
        <w:t>” has the meaning assigned to that term in Section 2(b)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NorSub Membership Interests</w:t>
      </w:r>
      <w:r>
        <w:rPr/>
        <w:t>” has the meaning assigned to that term in Section 2(b)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NorSub Purchase Price Loan</w:t>
      </w:r>
      <w:r>
        <w:rPr/>
        <w:t>” has the meaning assigned to that term in Section 2(d)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NorthWestern Agreement Guaranty</w:t>
      </w:r>
      <w:r>
        <w:rPr/>
        <w:t>” has the meaning assigned to the term in Section 5(a)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Permitted Purpose</w:t>
      </w:r>
      <w:r>
        <w:rPr/>
        <w:t>” has the meaning assigned to that term in Section 11(a)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Purchase Price</w:t>
      </w:r>
      <w:r>
        <w:rPr/>
        <w:t xml:space="preserve">” means an amount equal to Forty-Eight Million and No/100 Dollars ($48,000,000.00), which amount includes the Purchase Price Deposits;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 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Purchase Price Deposit(s)</w:t>
      </w:r>
      <w:r>
        <w:rPr/>
        <w:t>” has the meaning assigned to that term in Section 5(c)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Representatives</w:t>
      </w:r>
      <w:r>
        <w:rPr/>
        <w:t>” has the meaning assigned to that term in Section 11(a)(v)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Response Period</w:t>
      </w:r>
      <w:r>
        <w:rPr/>
        <w:t>” has the meaning assigned to that term in Section 22(a)(ii)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Securities Act</w:t>
      </w:r>
      <w:r>
        <w:rPr/>
        <w:t>” has the meaning assigned to that term in Section 12(c)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Specified Closing Date</w:t>
      </w:r>
      <w:r>
        <w:rPr/>
        <w:t>” has the meaning assigned to that term in Section 3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State Acts</w:t>
      </w:r>
      <w:r>
        <w:rPr/>
        <w:t>” has the meaning assigned to that term in Section 12(c)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Term</w:t>
      </w:r>
      <w:r>
        <w:rPr/>
        <w:t>” has the meaning assigned to that term in Section 9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Turbine Contract Assignment and Assumption Agreement</w:t>
      </w:r>
      <w:r>
        <w:rPr/>
        <w:t>” has the meaning assigned to that term in Section 2(a)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w:t>
      </w:r>
      <w:r>
        <w:rPr>
          <w:u w:val="single"/>
        </w:rPr>
        <w:t>Unpaid Purchase Price</w:t>
      </w:r>
      <w:r>
        <w:rPr/>
        <w:t xml:space="preserve">” means an amount equal to the difference between (i) the Purchase Price (net of any payments of Estimated and Excess Cost made by NorSub to ENA), and (ii) the Purchase Price Deposits paid by NorSub to ENA pursuant to Sections 5(b) and 5(c) of this Agreement. </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Closing of the Transaction</w:t>
      </w:r>
      <w:r>
        <w:rPr/>
        <w:t>.  Subject to the terms and conditions of this Agreement, the following events shall occur on the date of the closing of the Transaction (the “Closing”), each being a condition precedent to the others and each being deemed to occur simultaneously with the others: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In consideration of the execution and delivery by the LLC to ENA of a demand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(duly signed by the parties thereto); (ii) cause GE to acknowledge and agree to such assignment and assumption by executing that certain acknowledgment and agreement of GE that is attached to the Turbine Contract Assignment and Assumption Agreement; (iii) cause GE to issue to the LLC certificates naming the LLC as additional named insured (in lieu of the Original Purchaser) with respect to all insurance carried and required to be carried by GE pursuant to Article XIX of the Original Turbine Contract; and [(iv) cause GE to transfer to the LLC the Retention Letter of Credit issued to the Original Purchaser with respect to the First Turbine.]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In consideration of the execution and delivery by the LLC to NorSub of a promissory note of the LLC, in substantially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Immediately upon the receipt by the LLC of the proceeds of the NorSub Purchase Price Loan, ENA and NorSub shall cause the LLC to apply such proceeds to the repayment in full of the amount outstanding under the ENA Promissory Note.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4(c)of this Agreement,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provided, however, that if NorSub postpones the Specified Closing Date pursuant to the provisions of this Section 3, ENA shall deposit in the Escrow Account an amount equal to interest, at the rate of Seven and One-Half Percent (7.5%) per annum, on Forty Million and No/100 Dollars ($40,000,000), for each day in the period from and including the Specified Closing Date to but excluding the day on which the Closing occurs.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Escrow Arrangements and Funding</w:t>
      </w:r>
      <w:r>
        <w:rPr/>
        <w: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Simultaneously with the execution and delivery of this Agreement, the Parties are entering into an escrow agreement with Citibank, N.A., as escrow agent (the “</w:t>
      </w:r>
      <w:r>
        <w:rPr>
          <w:u w:val="single"/>
        </w:rPr>
        <w:t>Escrow Agent</w:t>
      </w:r>
      <w:r>
        <w:rPr/>
        <w:t xml:space="preserve">”) substantially in the form of </w:t>
      </w:r>
      <w:r>
        <w:rPr>
          <w:u w:val="single"/>
        </w:rPr>
        <w:t>Exhibit F</w:t>
      </w:r>
      <w:r>
        <w:rPr/>
        <w:t xml:space="preserve"> attached hereto (the “</w:t>
      </w:r>
      <w:r>
        <w:rPr>
          <w:u w:val="single"/>
        </w:rPr>
        <w:t>Escrow Agreement</w:t>
      </w:r>
      <w:r>
        <w:rPr/>
        <w:t>”), under and pursuant to which an escrow account (the “</w:t>
      </w:r>
      <w:r>
        <w:rPr>
          <w:u w:val="single"/>
        </w:rPr>
        <w:t>Escrow Account</w:t>
      </w:r>
      <w:r>
        <w:rPr/>
        <w:t>”) is being established for the purpose of facilitating the Closing.  Notwithstanding anything to the contrary in the Escrow Agreement, NorSub will pay all acceptance, setup, administration and other fees associated with the Escrow Account and the Escrow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On the date which is twenty (20) days prior to the Specified Closing Date (or, if such day is not a business day in New York City, on the next day which is a business day in New York City), NorSub shall deposit in the Escrow Account an amount equal to the sum of (i) the Unpaid Purchase Price, plus (ii) the NorSub Cash Contribution.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Account is funded prior to July 15, 2001 and the Closing has not occurred on or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Guaranty and Purchase Price Deposits</w:t>
      </w:r>
      <w:r>
        <w:rPr/>
        <w: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Normal"/>
        <w:keepLines/>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If, on and as of July 16, 2001, the Closing has not occurred, then, on July 16, 2001, NorSub shall pay to ENA, as an additional deposit in respect of the Purchase Price (the “</w:t>
      </w:r>
      <w:r>
        <w:rPr>
          <w:u w:val="single"/>
        </w:rPr>
        <w:t>Additional Purchase Price Deposit</w:t>
      </w:r>
      <w:r>
        <w:rPr/>
        <w:t>”), Five Million and No/00 Dollars ($5,000,000.00) by wire transfer to an account specified by ENA in writing for such purpose.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Each Purchase Price Deposit shall be non-refundable by ENA, except as otherwise provided in Section 10 hereof.</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Upon occurrence of the Closing, an aggregate amount equal to the sum of (i) the Initial Purchase Price Deposit, (ii) the Additional Purchase Price Deposit, (iii) the Estimated Cost of each Change Order paid by NorSub to ENA pursuant to Section 6(h) of this Agreement, and (iv)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Pre-Closing Covenants and Agreements</w:t>
      </w:r>
      <w:r>
        <w:rPr/>
        <w:t>.  The Parties covenant and agree that, at all times prior to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be responsible for the performance of, and shall cause the Original Purchaser and/or the Agent to perform, all of the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ENA shall be entitled to receive and to retain (and/or to apply as it determines in its sole discretion) all amounts paid by GE under the Original Turbine Contract prior to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furnish promptly to NorSub (or its agent or representative) such information concerning the Turbines, the Original Turbine Contract and the transactions thereunder as NorSub may reasonably request from time to time, including, without limitation,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ENA shall provide to NorSub notice, promptly after the Original Purchaser and/or the Agent obtains knowledge thereof, or receives notice or payment thereof, as applicable, of (i) the accrual or payment of liquidated damages under the Original Turbine Contract, or (ii) the assertion of any claim or entitlement by GE or any Seller Indemnitee for payment or indemnification pursuant to the Original Turbine Contract (other than for payment of Purchase Amount and taxes in respect of the sale or delivery of the Turbines).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not, and shall not permit the Original Purchaser and/or the Agent to, take any action or exercise any option under or in respect of the Original Turbine Contract if such action or exercise affects the Scope of Work or the Specification, in each case, without the prior approval of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afford to NorSub (or its agent or representative) such access to, and such rights of inspection of, the First Turbine as NorSub may reasonably request for purposes of engineering, design and/or construction of the Facility in which the First Turbine is intended by NorSub to be used and for purposes of determining whether the First Turbine is or will be in a complete and undamaged condition on and as of the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Neither Party shall enter into any agreement containing any provisions which would be violated or breached by the performance by such Party of its obligations under this Agreement.</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Upon NorSub’s submission to ENA of a Change Order with respect to the Second Turbine (as though NorSub were the Purchaser or the Agent under the Original Turbine Contract), ENA shall cause the Original Purchaser and/or the Agent to consult with GE, pursuant to the provisions set forth in Section 11.2 of the Original Turbine Contact, concerning the estimated cost of such Change Order and the impact of such Change Order on the Guaranteed Unit Shipment Date of the Second Turbine and the Purchase Amount of the Second Turbine; and,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(the “</w:t>
      </w:r>
      <w:r>
        <w:rPr>
          <w:u w:val="single"/>
        </w:rPr>
        <w:t>Estimated Cost</w:t>
      </w:r>
      <w:r>
        <w:rPr/>
        <w:t>”) before GE proceeds with such Change Order, (iv)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promptly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[Upon NorSub’s submission of a written request to ENA that identifies the basis for a discussion or consultation with GE (as such discussion or consultation is more particularly described in this Section 6(i)), ENA shall, if it considers, in its sole discretion, that the basis for such consultation or discussion with GE is reasonable, cause the Original Purchaser and/or the Agent to use commercially reasonable efforts to afford NorSub (or its agent or representative) such opportunity or opportunities to discuss with GE (or to consult with GE concerning) matters solely pertaining to technical discussions regarding the Turbines and/or any Change Order; </w:t>
      </w:r>
      <w:r>
        <w:rPr>
          <w:u w:val="single"/>
        </w:rPr>
        <w:t>provided</w:t>
      </w:r>
      <w:r>
        <w:rPr/>
        <w:t xml:space="preserve">, </w:t>
      </w:r>
      <w:r>
        <w:rPr>
          <w:u w:val="single"/>
        </w:rPr>
        <w:t>however</w:t>
      </w:r>
      <w:r>
        <w:rPr/>
        <w:t>, that each of ENA, the Original Purchaser and the Agent must be present at, and participate in, each such discussion (or consultation).]</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If (prior to the funding of the Escrow Account in accordance with Section 4(c) of this Agreement) the ratings assigned by Moody’s Investors Service, Inc. and Standard &amp; Poor’s Rating Service to any of the long-term, unsecured and unenhanced debt obligations of NorthWestern are reduced to below BAA3 and BBB-, respectively, then, within fifteen (15) days after receipt by NorSub of notice of such reductions, NorSub shall cause to be delivered to ENA an irrevocable letter of credit (or other form of credit enhancement acceptable to ENA) to support the payment obligations of NorSub under this Agreement and the LLC Agreement that is issued by a bank or other financial institution (or other Person acceptable to ENA) having long-term, unsecured and unenhanced debt obligations that are rated at least BAA3 and BBB- by Moody’s Investors Service, Inc. and Standard &amp; Poor’s Rating Service, respectively.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Closing Conditions.</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w:t>
        <w:tab/>
        <w:t>Each of ENA’s representations and warranties in this Agreement shall be true and correct on and as of the Closing Date as if made on and as of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w:t>
        <w:tab/>
        <w:t>Each document required to be executed and/or delivered by ENA (or which ENA is required to cause to be executed and/or delivered) pursuant to Section 2 hereof shall have been executed and/or delivered.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w:t>
        <w:tab/>
        <w:t>Each of NorSub’s representations and warranties in this Agreement shall be true and correct on and as of the Closing Date as if made on and as of the Closing Date, NorSub shall have funded the Escrow Account in the amount required by Section 4(c)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 Sub and dated the Closing Date, to such effect;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start="721" w:end="0"/>
        <w:jc w:val="both"/>
        <w:rPr/>
      </w:pPr>
      <w:r>
        <w:rPr/>
        <w:t>(ii)</w:t>
        <w:tab/>
        <w:t>Each document required to be executed and/or delivered by NorSub (or which Nor Sub is required to cause to be executed and/or delivered) pursuant to Section 2 and Section 8(e) hereof shall have been executed and/or delivered.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Post-Closing Covenants and Agreements</w:t>
      </w:r>
      <w:r>
        <w:rPr/>
        <w:t>.  The Parties covenant and agree that, upon and after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agrees to be responsible for, and to pay to GE when due, and to hold the LLC and NorSub harmless from and against, (i) any and all installments or other amounts of the Purchase Amount of the Turbines which become due and payable on and after the Closing Date under and in accordance with the Turbine Contract (as in effect on the Closing Date), other than (A) any such installments or other amounts of Purchase Amount which become due and payable on and after the Closing Date under and in accordance with the Turbine Contract as a result of (I) any act or omission by the LLC, NorSub, any Affiliate of NorSub or any other Person (other than ENA or an Affiliate of ENA) occurring on or after the Closing Date, or (II) any other event occurring, or any other circumstance arising, on or after the Closing Date, and (B) any sales, transfer, use, ad valorem and other taxes which might arise in connection with the sale, transfer, assignment or ownership of the Turbines, and (ii) any damages or indemnification payments which become due and payable to GE or any Seller Indemnitee under and in accordance with the Turbine Contract on and after the Closing Date as a result of an act or omission of the Original Purchaser and/or the Agent occurring prior to the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agrees to be responsible for, and to hold the LLC and ENA harmless from and against, payment of (i) any and all amounts which become due and payable to GE or any Seller Indemnitee under and in accordance with the Turbine Contract after the Closing Date, other than any amounts for which ENA is responsible pursuant to paragraph 8(a) hereof, and (ii) any and all sales, transfer, use, ad valorem and other taxes which might arise in connection with the sale, transfer, assignment or ownership of the Turbines.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agrees to cause the LLC to pay to ENA any amounts of liquidated damages that are received by the LLC under and pursuant to the Turbine Contract on and after the Closing Date but that accrued under and pursuant to the Turbine Contract prior to the Closing Date or that are so paid by reason of events that occurred, or circumstances that prevailed, prior to the Closing Date.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At all times prior to the exercise of either the Call Right (as defined in the LLC Agreement) or the Put Right (as defined in the LLC Agreement),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w:t>
        <w:noBreakHyphen/>
        <w:t>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w:t>
      </w:r>
      <w:r>
        <w:rPr>
          <w:vertAlign w:val="superscript"/>
        </w:rPr>
        <w:t>th</w:t>
      </w:r>
      <w:r>
        <w:rPr/>
        <w:t xml:space="preserve">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Termination</w:t>
      </w:r>
      <w:r>
        <w:rPr/>
        <w: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have the right to terminate this Agreement, at any time prior to the Closing, by written notice to NorSub, if (i) ENA has determined, in good faith, and on the basis of discussions and negotiations with GE, that ENA will be unable to execute and deliver, or cause to be executed and delivered, any document which ENA is required to execute and deliver, or cause to be executed and delivered, pursuant to clauses (ii), (iii) or (iv) of Section 2(a) of this Agreement, (ii) ENA has notified NorSub in writing of such determination by ENA (and has identified in such written notice the document which ENA will be unable to execute and deliver or cause to be executed and delivered and has described in such written notice the basis for such determination), and (iii) within [seven (7)] days after receipt of such written notice from ENA, NorSub has not waived the requirement that ENA execute and deliver, or cause to be executed, the document which ENA has determined ENA will be unable to deliver or cause to be executed and delivered.  If NorSub waives the requirement that ENA execute and deliver, or cause to be executed and delivered, the document described in clause (iii) of Section 2(a) of this Agreement, then, in lieu thereof, ENA shall deliver copies of all certificates of insurance which GE delivered to Original Purchaser and the Agent pursuant to the Original Turbine Contract.  If NorSub waives the requirement that ENA execute and deliver, or cause to be executed and delivered, the document described in clause (iv) of Section 2(a) of this Agreement, then, in lieu thereof, ENA shall deliver the Retention Letter of Credit which GE delivered to the Original Purchaser and/or the Agent pursuant to the Original Turbine Contract.  In the event this Agreement is terminated by ENA pursuant to this Section 10(a), as its sole and exclusive remedy, NorSub shall be entitled to the immediate refund of all Purchase Price Deposits made by NorSub and to the immediate return of all moneys (including interest earnings), if any, on deposit in the Escrow Account.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have the right to terminate this Agreement, at any time prior to the Closing, by written notice to NorSub, if (i) NorSub breaches its covenant contained in Section 6(j) of this Agreement, (ii) NorSub fails to give notice pursuant to Section 3 of this Agreement on or prior to August 15, 2001 of a Specified Closing Date occurring on or prior to September 15, 2001, (iii)  NorSub fails to fund the Escrow Account at the time and in the amount required by Section 4(b) of this Agreement, (iv) NorSub fails to make the Additional Purchase Price Deposit at the time and in the amount required by Section 5(c) of this Agreement, or (v)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if any, on deposit in the Escrow Account and ENA shall be entitled to retain (and shall have no obligation to refund) the Purchase Price Deposits made by NorSub.  In addition, if such termination occurs on or prior to July 15, 2001, NorSub shall pay to ENA, within three (3)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shall have the right to terminate this Agreement, at any time prior to the Closing, by written notice to ENA, if ENA fails to satisfy, perform or comply in any material respect with any of the material covenants or obligations that ENA is required to satisfy, perform or to comply with pursuant to this Agreement prior to the Closing.  In the event this Agreement is terminated by NorSub pursuant to this Section 10(c), NorSub shall be entitled to the immediate refund of all Purchase Price Deposits made by NorSub and to the immediate return of all moneys (including interest earnings), if any, on deposit in the Escrow Account.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if any, on deposit in the Escrow Account and ENA shall be entitled to retain (and shall have no obligation to refund) the Purchase Price Deposits made by NorSub.</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Each Party’s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and 10(b) of this Agreement with respect to sole and exclusive remedies, the terminating Party’s right to pursue all legal remedies (whether under this Agreement or otherwise) will survive unimpaired notwithstanding its election to terminate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Confidentiality</w:t>
      </w:r>
      <w:r>
        <w:rPr/>
        <w:t xml:space="preserve">. </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Confidential Information that a Party can demonstrate was rightfully in such Party’s possession prior to the date of disclosure to such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Confidential Information that is disclosed to a third party in accordance with written direction or approval from or of the Party claiming an interest in the confidentiality thereof;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Disclosures of Confidential Information for financial reporting purposes;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Disclosures of Confidential Information by a Party to GE in connection with the Turbines or the Turbine Contract.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Each Party shall take all necessary precautions to exclude unauthorized personnel and visitors from areas where Confidential Information is or may be available or observable.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provisions of this Section 11 shall survive until two (2) years from the earlier of (i) the date of the exercise of the Call Right (as defined in the LLC Agreement) or the Put Right (as defined in the LLC Agreement), or (ii) the date of termination of this Agreement pursuant to Section 10 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Representations and Warranties</w:t>
      </w:r>
      <w:r>
        <w:rPr/>
        <w: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represents and warrants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There is no Action pending, or to the knowledge of ENA threatened, against ENA or the LLC relating to the Original Turbine Contract, the Turbine Contract, the GE Equipment, the LLC or the LLC’s business or assets.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LLC is a limited liability company duly organized, validly existing and in good standing under the laws of the State of Delaware.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has delivered to NorSub true and complete copies (and at Closing will deliver originals) of (A) the limited liability company agreement and other governing instruments of the LLC, each as amended, and (B) all other records of the LLC.</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LLC does not directly or indirectly own any capital stock or other equity interest in any corporation, partnership or other entity and has never owned any such equity interest.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LLC has no employees and has never had any employees.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Since its formation, the LLC has not made any tax elections.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At the Closing of the Transaction, the LLC will own and hold good and valid title to all rights, title and interests of the “Purchaser” and the “Agent” in, to and under the Original Turbine Contract and in and to the First Turbine,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 act or omission on the part of ENA, the Original Purchaser or the Agent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has furnished to NorSub a true, correct and complete (</w:t>
      </w:r>
      <w:r>
        <w:rPr>
          <w:u w:val="single"/>
        </w:rPr>
        <w:t>e.g.</w:t>
      </w:r>
      <w:r>
        <w:rPr/>
        <w:t>, not redacted) copy of the Original Turbine Contract and all Change Orders thereunder.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Original Turbine Contract is in full force and effect without any termination thereof by any party thereto; and as of the Closing, the Turbine Contract will be in full force and effect without any termination thereof.</w:t>
      </w:r>
    </w:p>
    <w:p>
      <w:pPr>
        <w:pStyle w:val="Normal"/>
        <w:widowContro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LLC is, and on the Closing Date (and without giving effect to the Transaction) will be, an Affiliate (as defined in the Original Turbine Contract) of the Agent.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represents and warrants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There is no Action pending, or to the knowledge of NorSub threatened, against NorSub relating to the Turbine Contract, the GE Equipment, the LLC or the LLC’s business or assets.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Expenses</w:t>
      </w:r>
      <w:r>
        <w:rPr/>
        <w:t>.  Except as specifically stated otherwise herein or in the LLC Agreement, each Party shall bear its own costs associated with negotiating, executing, delivering and performing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Entire Agreement.</w:t>
      </w:r>
      <w:r>
        <w:rPr/>
        <w:t xml:space="preserve">  This Agreement and the documents delivered hereunder to which any Party or NorthWestern is a party constitute the entire agreement of the Parties and NorthWestern relating to the subject matter hereof and supersede all prior discussions, agreements or understandings, whether oral or written, relating to such subject matter, including that certain letter of intent dated March 26, 2001, between ENA and NorthWestern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Amendments, etc.</w:t>
      </w:r>
      <w:r>
        <w:rPr/>
        <w:t xml:space="preserve">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Governing Law</w:t>
      </w:r>
      <w:r>
        <w:rPr/>
        <w:t>.  THIS AGREEMENT SHALL BE GOVERNED BY AND CONSTRUED IN ACCORDANCE WITH THE LAWS OF THE STATE OF NEW YORK, WITHOUT GIVING EFFECT TO CONFLICTS OF LAWS PRINCIPLES.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Relationship of the Parties; No Third Party Beneficiaries.</w:t>
      </w:r>
      <w:r>
        <w:rPr/>
        <w:t xml:space="preserve">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Limitation of Liability.</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b/>
        </w:rPr>
      </w:pPr>
      <w:r>
        <w:rPr>
          <w:b/>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b/>
        </w:rPr>
      </w:pPr>
      <w:r>
        <w:rPr>
          <w:b/>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Assignment.</w:t>
      </w:r>
      <w:r>
        <w:rPr/>
        <w:t xml:space="preserve">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Indemnity.</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Survival</w:t>
      </w:r>
      <w:r>
        <w:rPr/>
        <w:t>.  The obligations of the Parties under this Section 20 shall survive the Closing until expiration of such obligations as set forth in accordance with Section 9 hereof.</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NorthWestern Generation I, LLC</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c/o NorthWestern Coporation</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125 S. Dakota Avenue</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Sioux Falls, South Dakota 57104</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Attention: Corporate Counsel</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Facsimile: (605) 978-2840</w:t>
      </w:r>
    </w:p>
    <w:p>
      <w:pPr>
        <w:pStyle w:val="Normal"/>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Enron North America Corp.</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1400 Smith Street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Houston, Texas 77002</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Attention:</w:t>
        <w:tab/>
        <w:t>Mr. Ben F. Jacoby</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Facsimile:</w:t>
        <w:tab/>
        <w:t>(713) 646</w:t>
        <w:noBreakHyphen/>
        <w:t>3037</w:t>
      </w:r>
    </w:p>
    <w:p>
      <w:pPr>
        <w:pStyle w:val="Normal"/>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Dispute Resolution.</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a Dispute shall be resolved by binding arbitration as provided herein, and judgment on an award rendered therein may be entered in any court of competent jurisdiction.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The respondent Party shall have twenty (20) calendar days (the “</w:t>
      </w:r>
      <w:r>
        <w:rPr>
          <w:u w:val="single"/>
        </w:rPr>
        <w:t>Response Period</w:t>
      </w:r>
      <w:r>
        <w:rPr/>
        <w:t>”) to respond to the demand, in writing, setting out its answer and/or counterclaims.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After the arbitration demand and response have been exchanged, a three-member arbitration panel shall be selected as follows: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No person may be selected or serve as an arbitrator who is employed by, or under the control or management of, either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 xml:space="preserve">Each Party shall, within fifteen (15) calendar days after expiration of the Response Period, appoint one arbitrator from a list of at least 20 names of arbitrators located in the State of New York as such list is maintained by the AAA (the “Arbitrator List”) and provide written notice of the appointment to the other Party.  If either Party fails or refuses to appoint an arbitrator during the period for doing so, the other Party may appoint the second arbitrator; and </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In addition to its authority to hear the dispute presented by the Parties, the arbitration panel may, subject to the terms of this Section 22, make rulings in connection with the procedures and timetable to be followed by the Parties hereunder.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Within fifteen (15) calendar days after the final appointment to the arbitration panel, the arbitration hearing shall proceed, subject to the following requirements and procedures: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The arbitration hearing shall be held in New York, New York, at a location mutually agreed by the Parties, or failing such agreement, at a location determined by the arbitration panel;</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The arbitration panel shall weigh evidence and make its award, taking into account, to the extent it deems applicable, custom and usage of the industry;</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The arbitration panel’s award shall be issued in writing and shall state the factual bases and reasoning of the award;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6"/>
          <w:numId w:val="2"/>
        </w:numPr>
        <w:tabs>
          <w:tab w:val="clear" w:pos="720"/>
          <w:tab w:val="left" w:pos="4327" w:leader="none"/>
          <w:tab w:val="left" w:pos="5048" w:leader="none"/>
          <w:tab w:val="left" w:pos="5769" w:leader="none"/>
          <w:tab w:val="left" w:pos="6490" w:leader="none"/>
          <w:tab w:val="left" w:pos="7212" w:leader="none"/>
          <w:tab w:val="left" w:pos="7933" w:leader="none"/>
        </w:tabs>
        <w:jc w:val="both"/>
        <w:rPr/>
      </w:pPr>
      <w:r>
        <w:rPr/>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5"/>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All time limits stated in this Section 22 are for the convenience of the Parties and may be altered upon mutual agreement of the Parties.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Further Assurances.</w:t>
      </w:r>
      <w:r>
        <w:rPr/>
        <w:t xml:space="preserve">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Next w:val="true"/>
        <w:keepLines/>
        <w:widowControl/>
        <w:numPr>
          <w:ilvl w:val="0"/>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b/>
        </w:rPr>
        <w:t>Interpretation</w:t>
      </w:r>
      <w:r>
        <w:rPr/>
        <w:t>.  In construing this Agreement:</w:t>
      </w:r>
    </w:p>
    <w:p>
      <w:pPr>
        <w:pStyle w:val="Normal"/>
        <w:keepNext w:val="true"/>
        <w:keepLines/>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keepLines/>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Examples</w:t>
      </w:r>
      <w:r>
        <w:rPr/>
        <w:t>.  Examples shall not be construed to limit, expressly or by implication, the matter they illustrate;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Including</w:t>
      </w:r>
      <w:r>
        <w:rPr/>
        <w:t>.  The word “includes” and its derivatives means “includes, but is not limited to” and corresponding derivative expressions;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Neutral Interpretation</w:t>
      </w:r>
      <w:r>
        <w:rPr/>
        <w:t>.  This Agreement is the result of arm’s</w:t>
        <w:noBreakHyphen/>
        <w:t>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Headings</w:t>
      </w:r>
      <w:r>
        <w:rPr/>
        <w:t>.  The headings and numbers of Sections of this Agreement are provided for convenience of reference only and will not affect its construction, interpretation or meaning; and</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numPr>
          <w:ilvl w:val="4"/>
          <w:numId w:val="2"/>
        </w:numPr>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u w:val="single"/>
        </w:rPr>
        <w:t>Time of Essence</w:t>
      </w:r>
      <w:r>
        <w:rPr/>
        <w:t>.  With regard to dates and time periods set forth or referred to in this Agreement, time is of the essence.</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center" w:pos="5048" w:leader="none"/>
          <w:tab w:val="left" w:pos="5769" w:leader="none"/>
          <w:tab w:val="left" w:pos="6490" w:leader="none"/>
          <w:tab w:val="left" w:pos="7212" w:leader="none"/>
          <w:tab w:val="left" w:pos="7933" w:leader="none"/>
        </w:tabs>
        <w:jc w:val="center"/>
        <w:rPr/>
      </w:pPr>
      <w:r>
        <w:rPr/>
        <w:t>[THE REMAINDER OF THIS PAGE IS INTENTIONALLY LEFT BLANK.]</w:t>
      </w:r>
      <w:r>
        <w:br w:type="page"/>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1442" w:end="0"/>
        <w:jc w:val="both"/>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t>ENRON NORTH AMERICA CORP.</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ind w:firstLine="4320" w:end="0"/>
        <w:jc w:val="both"/>
        <w:rPr/>
      </w:pPr>
      <w:r>
        <w:rPr/>
        <w:t>By:</w:t>
      </w:r>
      <w:r>
        <w:rPr>
          <w:u w:val="single"/>
        </w:rPr>
        <w:tab/>
        <w:tab/>
        <w:tab/>
        <w:tab/>
        <w:tab/>
        <w:tab/>
      </w:r>
    </w:p>
    <w:p>
      <w:pPr>
        <w:pStyle w:val="Normal"/>
        <w:widowControl/>
        <w:ind w:firstLine="4320" w:end="0"/>
        <w:jc w:val="both"/>
        <w:rPr/>
      </w:pPr>
      <w:r>
        <w:rPr/>
        <w:t>Printed Name:</w:t>
      </w:r>
      <w:r>
        <w:rPr>
          <w:u w:val="single"/>
        </w:rPr>
        <w:tab/>
        <w:tab/>
        <w:tab/>
        <w:tab/>
        <w:tab/>
      </w:r>
    </w:p>
    <w:p>
      <w:pPr>
        <w:pStyle w:val="Normal"/>
        <w:widowControl/>
        <w:ind w:firstLine="4320" w:end="0"/>
        <w:jc w:val="both"/>
        <w:rPr/>
      </w:pPr>
      <w:r>
        <w:rPr/>
        <w:t>Title:</w:t>
      </w:r>
      <w:r>
        <w:rPr>
          <w:u w:val="single"/>
        </w:rPr>
        <w:tab/>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end="0"/>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Agreed and accepted this</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sz w:val="36"/>
        </w:rPr>
        <w:t xml:space="preserve">___ </w:t>
      </w:r>
      <w:r>
        <w:rPr/>
        <w:t>day of April, 2001</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NORTHWESTERN GENERATION I, LLC</w:t>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By:</w:t>
      </w:r>
      <w:r>
        <w:rPr>
          <w:u w:val="single"/>
        </w:rPr>
        <w:tab/>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Printed Name:</w:t>
      </w:r>
      <w:r>
        <w:rPr>
          <w:u w:val="single"/>
        </w:rPr>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t>Title:</w:t>
      </w:r>
      <w:r>
        <w:rPr>
          <w:u w:val="single"/>
        </w:rPr>
        <w:tab/>
        <w:tab/>
        <w:tab/>
        <w:tab/>
        <w:tab/>
        <w:tab/>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jc w:val="both"/>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5.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p>
    <w:pPr>
      <w:pStyle w:val="Normal"/>
      <w:spacing w:lineRule="exact" w:line="240"/>
      <w:rPr/>
    </w:pPr>
    <w:r>
      <w:rPr/>
    </w:r>
  </w:p>
  <w:p>
    <w:pPr>
      <w:pStyle w:val="Normal"/>
      <w:spacing w:lineRule="exact" w:line="240"/>
      <w:rPr/>
    </w:pPr>
    <w:r>
      <w:rPr/>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r>
    <w:r>
      <mc:AlternateContent>
        <mc:Choice Requires="wps">
          <w:drawing>
            <wp:anchor behindDoc="1" distT="0" distB="0" distL="114935" distR="114935" simplePos="0" locked="0" layoutInCell="0" allowOverlap="1" relativeHeight="56">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136911 v9</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136911 v9</w:t>
                    </w:r>
                    <w:r>
                      <w:rPr/>
                      <w:fldChar w:fldCharType="end"/>
                    </w:r>
                  </w:p>
                </w:txbxContent>
              </v:textbox>
              <w10:wrap type="none"/>
            </v:rect>
          </w:pict>
        </mc:Fallback>
      </mc:AlternateConten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55">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FOR DISCUSSION PURPOSES ONLY</w:t>
    </w:r>
  </w:p>
  <w:p>
    <w:pPr>
      <w:pStyle w:val="Header"/>
      <w:jc w:val="end"/>
      <w:rPr>
        <w:b/>
      </w:rPr>
    </w:pPr>
    <w:r>
      <w:rPr>
        <w:b/>
      </w:rPr>
      <w:t>APRIL 11,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3"/>
        </w:tabs>
        <w:ind w:start="0" w:firstLine="1442"/>
      </w:pPr>
      <w:rPr>
        <w:smallCaps w:val="false"/>
        <w:caps w:val="false"/>
        <w:sz w:val="24"/>
        <w:i w:val="false"/>
        <w:u w:val="none"/>
        <w:b w:val="false"/>
      </w:rPr>
    </w:lvl>
    <w:lvl w:ilvl="1">
      <w:start w:val="1"/>
      <w:numFmt w:val="lowerLetter"/>
      <w:lvlText w:val=""/>
      <w:lvlJc w:val="start"/>
      <w:pPr>
        <w:tabs>
          <w:tab w:val="num" w:pos="720"/>
        </w:tabs>
        <w:ind w:start="720" w:hanging="360"/>
      </w:p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numFmt w:val="lowerLetter"/>
      <w:lvlText w:val="(%5)"/>
      <w:lvlJc w:val="start"/>
      <w:pPr>
        <w:tabs>
          <w:tab w:val="num" w:pos="2163"/>
        </w:tabs>
        <w:ind w:start="0" w:firstLine="1442"/>
      </w:pPr>
      <w:rPr>
        <w:smallCaps w:val="false"/>
        <w:caps w:val="false"/>
        <w:sz w:val="24"/>
        <w:i w:val="false"/>
        <w:u w:val="none"/>
        <w:b w:val="false"/>
      </w:rPr>
    </w:lvl>
    <w:lvl w:ilvl="5">
      <w:start w:val="1"/>
      <w:numFmt w:val="lowerRoman"/>
      <w:lvlText w:val="(%6)"/>
      <w:lvlJc w:val="start"/>
      <w:pPr>
        <w:tabs>
          <w:tab w:val="num" w:pos="2163"/>
        </w:tabs>
        <w:ind w:start="721" w:firstLine="1442"/>
      </w:pPr>
      <w:rPr>
        <w:smallCaps w:val="false"/>
        <w:caps w:val="false"/>
        <w:sz w:val="24"/>
        <w:i w:val="false"/>
        <w:u w:val="none"/>
        <w:b w:val="false"/>
      </w:rPr>
    </w:lvl>
    <w:lvl w:ilvl="6">
      <w:start w:val="1"/>
      <w:numFmt w:val="decimal"/>
      <w:lvlText w:val="(%7)"/>
      <w:lvlJc w:val="start"/>
      <w:pPr>
        <w:tabs>
          <w:tab w:val="num" w:pos="3606"/>
        </w:tabs>
        <w:ind w:start="1442" w:firstLine="1442"/>
      </w:pPr>
      <w:rPr>
        <w:smallCaps w:val="false"/>
        <w:caps w:val="false"/>
        <w:sz w:val="24"/>
        <w:i w:val="false"/>
        <w:u w:val="none"/>
        <w:b w:val="false"/>
      </w:rPr>
    </w:lvl>
    <w:lvl w:ilvl="7">
      <w:start w:val="1"/>
      <w:numFmt w:val="lowerLetter"/>
      <w:lvlText w:val=""/>
      <w:lvlJc w:val="start"/>
      <w:pPr>
        <w:tabs>
          <w:tab w:val="num" w:pos="2880"/>
        </w:tabs>
        <w:ind w:start="2880" w:hanging="360"/>
      </w:pPr>
    </w:lvl>
    <w:lvl w:ilvl="8">
      <w:start w:val="1"/>
      <w:numFmt w:val="lowerRoman"/>
      <w:lvlText w:val="1"/>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val="false"/>
      <w:i w:val="false"/>
      <w:caps w:val="false"/>
      <w:smallCaps w:val="false"/>
      <w:sz w:val="24"/>
      <w:u w:val="none"/>
    </w:rPr>
  </w:style>
  <w:style w:type="character" w:styleId="WW8Num2z0">
    <w:name w:val="WW8Num2z0"/>
    <w:qFormat/>
    <w:rPr>
      <w:b/>
    </w:rPr>
  </w:style>
  <w:style w:type="character" w:styleId="WW8Num3z0">
    <w:name w:val="WW8Num3z0"/>
    <w:qFormat/>
    <w:rPr>
      <w:b w:val="false"/>
      <w:i w:val="false"/>
      <w:caps w:val="false"/>
      <w:smallCaps w:val="false"/>
      <w:sz w:val="24"/>
      <w:u w:val="non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2001-04-11T15:11:00Z</dcterms:created>
  <dc:creator>Carolyn Campbell</dc:creator>
  <dc:description>136911 v9</dc:description>
  <dc:language>en-CA</dc:language>
  <cp:lastModifiedBy>King &amp; Spalding</cp:lastModifiedBy>
  <cp:lastPrinted>2001-04-11T13:44:00Z</cp:lastPrinted>
  <dcterms:modified xsi:type="dcterms:W3CDTF">2001-04-11T21:00:00Z</dcterms:modified>
  <cp:revision>20</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