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foot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media/image2.jpeg" ContentType="image/jpe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t>4</w:t>
      </w:r>
      <w:r>
        <w:rPr>
          <w:vertAlign w:val="superscript"/>
        </w:rPr>
        <w:t>th</w:t>
      </w:r>
      <w:r>
        <w:rPr/>
        <w:t xml:space="preserve"> September 2001</w:t>
      </w:r>
    </w:p>
    <w:p>
      <w:pPr>
        <w:pStyle w:val="Normal"/>
        <w:jc w:val="both"/>
        <w:rPr/>
      </w:pPr>
      <w:r>
        <w:rPr/>
      </w:r>
    </w:p>
    <w:p>
      <w:pPr>
        <w:pStyle w:val="Normal"/>
        <w:jc w:val="both"/>
        <w:rPr/>
      </w:pPr>
      <w:r>
        <w:rPr/>
        <w:t>Our Ref: CECTRUS</w:t>
      </w:r>
    </w:p>
    <w:p>
      <w:pPr>
        <w:pStyle w:val="Normal"/>
        <w:jc w:val="both"/>
        <w:rPr/>
      </w:pPr>
      <w:r>
        <w:rPr/>
      </w:r>
    </w:p>
    <w:tbl>
      <w:tblPr>
        <w:tblW w:w="9051" w:type="dxa"/>
        <w:jc w:val="start"/>
        <w:tblInd w:w="0" w:type="dxa"/>
        <w:tblLayout w:type="fixed"/>
        <w:tblCellMar>
          <w:top w:w="0" w:type="dxa"/>
          <w:start w:w="108" w:type="dxa"/>
          <w:bottom w:w="0" w:type="dxa"/>
          <w:end w:w="108" w:type="dxa"/>
        </w:tblCellMar>
      </w:tblPr>
      <w:tblGrid>
        <w:gridCol w:w="9051"/>
      </w:tblGrid>
      <w:tr>
        <w:trPr>
          <w:trHeight w:val="2115" w:hRule="exact"/>
        </w:trPr>
        <w:tc>
          <w:tcPr>
            <w:tcW w:w="9051" w:type="dxa"/>
            <w:tcBorders/>
          </w:tcPr>
          <w:p>
            <w:pPr>
              <w:pStyle w:val="Heading2"/>
              <w:snapToGrid w:val="false"/>
              <w:ind w:hanging="0" w:start="0"/>
              <w:rPr/>
            </w:pPr>
            <w:r>
              <w:rPr/>
            </w:r>
          </w:p>
          <w:p>
            <w:pPr>
              <w:pStyle w:val="Heading2"/>
              <w:ind w:hanging="0" w:start="0"/>
              <w:rPr/>
            </w:pPr>
            <w:r>
              <w:rPr/>
              <w:t>ENRON NORTH AMERICA CORP</w:t>
            </w:r>
          </w:p>
          <w:p>
            <w:pPr>
              <w:pStyle w:val="Normal"/>
              <w:jc w:val="both"/>
              <w:rPr/>
            </w:pPr>
            <w:r>
              <w:rPr/>
              <w:t>Ms. Suzanne Ferlic</w:t>
            </w:r>
          </w:p>
          <w:p>
            <w:pPr>
              <w:pStyle w:val="Normal"/>
              <w:jc w:val="both"/>
              <w:rPr/>
            </w:pPr>
            <w:r>
              <w:rPr/>
            </w:r>
          </w:p>
        </w:tc>
      </w:tr>
    </w:tbl>
    <w:p>
      <w:pPr>
        <w:pStyle w:val="Normal"/>
        <w:jc w:val="both"/>
        <w:rPr>
          <w:color w:val="000000"/>
        </w:rPr>
      </w:pPr>
      <w:r>
        <w:rPr>
          <w:color w:val="000000"/>
        </w:rPr>
      </w:r>
    </w:p>
    <w:p>
      <w:pPr>
        <w:pStyle w:val="Normal"/>
        <w:jc w:val="both"/>
        <w:rPr>
          <w:color w:val="000000"/>
        </w:rPr>
      </w:pPr>
      <w:r>
        <w:rPr>
          <w:color w:val="000000"/>
        </w:rPr>
        <w:t xml:space="preserve">Dear </w:t>
      </w:r>
      <w:r>
        <w:rPr>
          <w:color w:val="000000"/>
        </w:rPr>
        <w:t>Ms. Ferlic,</w:t>
      </w:r>
    </w:p>
    <w:p>
      <w:pPr>
        <w:pStyle w:val="BodyText2"/>
        <w:jc w:val="both"/>
        <w:rPr>
          <w:b/>
          <w:color w:val="000000"/>
          <w:sz w:val="22"/>
          <w:u w:val="single"/>
        </w:rPr>
      </w:pPr>
      <w:r>
        <w:rPr>
          <w:b/>
          <w:color w:val="000000"/>
          <w:sz w:val="22"/>
          <w:u w:val="single"/>
        </w:rPr>
      </w:r>
    </w:p>
    <w:p>
      <w:pPr>
        <w:pStyle w:val="BodyText2"/>
        <w:jc w:val="both"/>
        <w:rPr>
          <w:b/>
          <w:sz w:val="22"/>
          <w:u w:val="single"/>
        </w:rPr>
      </w:pPr>
      <w:r>
        <w:rPr>
          <w:b/>
          <w:sz w:val="22"/>
          <w:u w:val="single"/>
        </w:rPr>
        <w:t>RE: Important Integration Information regarding The Royal Bank of Scotland Group and The NatWest Group</w:t>
      </w:r>
    </w:p>
    <w:p>
      <w:pPr>
        <w:pStyle w:val="Normal"/>
        <w:jc w:val="both"/>
        <w:rPr>
          <w:b/>
          <w:color w:val="000000"/>
          <w:sz w:val="22"/>
          <w:u w:val="single"/>
          <w:lang w:eastAsia="en-US"/>
        </w:rPr>
      </w:pPr>
      <w:r>
        <w:rPr>
          <w:b/>
          <w:color w:val="000000"/>
          <w:sz w:val="22"/>
          <w:u w:val="single"/>
          <w:lang w:eastAsia="en-US"/>
        </w:rPr>
      </w:r>
    </w:p>
    <w:p>
      <w:pPr>
        <w:pStyle w:val="Normal"/>
        <w:jc w:val="both"/>
        <w:rPr>
          <w:color w:val="000000"/>
          <w:lang w:eastAsia="en-US"/>
        </w:rPr>
      </w:pPr>
      <w:r>
        <w:rPr>
          <w:color w:val="000000"/>
          <w:lang w:eastAsia="en-US"/>
        </w:rPr>
        <w:t>As you will be aware, National Westminster Bank Plc became part of The Royal Bank of Scotland Group in March 2000.  Since that date we have been integrating the businesses of The Royal Bank of Scotland Treasury and Capital Markets, NatWest Global Financial Markets and part of Greenwich NatWest to form the Financial Markets division of The Royal Bank of Scotland plc.</w:t>
      </w:r>
    </w:p>
    <w:p>
      <w:pPr>
        <w:pStyle w:val="BodyText"/>
        <w:jc w:val="both"/>
        <w:rPr>
          <w:b/>
          <w:color w:val="000000"/>
          <w:lang w:eastAsia="en-US"/>
        </w:rPr>
      </w:pPr>
      <w:r>
        <w:rPr>
          <w:b/>
          <w:color w:val="000000"/>
          <w:lang w:eastAsia="en-US"/>
        </w:rPr>
      </w:r>
    </w:p>
    <w:p>
      <w:pPr>
        <w:pStyle w:val="BodyText"/>
        <w:jc w:val="both"/>
        <w:rPr/>
      </w:pPr>
      <w:r>
        <w:rPr>
          <w:b/>
        </w:rPr>
        <w:t>With effect from midnight Friday, October 26</w:t>
      </w:r>
      <w:r>
        <w:rPr>
          <w:b/>
          <w:vertAlign w:val="superscript"/>
        </w:rPr>
        <w:t>th</w:t>
      </w:r>
      <w:r>
        <w:rPr>
          <w:b/>
        </w:rPr>
        <w:t xml:space="preserve"> 2001, all outstanding Foreign Exchange, Currency Option and Interest Rates Derivative transactions booked in the National Westminster Bank Plc, will be novated to The Royal Bank of Scotland plc.  </w:t>
      </w:r>
    </w:p>
    <w:p>
      <w:pPr>
        <w:pStyle w:val="BodyText"/>
        <w:jc w:val="both"/>
        <w:rPr>
          <w:b/>
        </w:rPr>
      </w:pPr>
      <w:r>
        <w:rPr>
          <w:b/>
        </w:rPr>
      </w:r>
    </w:p>
    <w:p>
      <w:pPr>
        <w:pStyle w:val="BodyText"/>
        <w:jc w:val="both"/>
        <w:rPr/>
      </w:pPr>
      <w:r>
        <w:rPr/>
        <w:t>We are not planning to novate any Money Market contracts at this time.</w:t>
      </w:r>
    </w:p>
    <w:p>
      <w:pPr>
        <w:pStyle w:val="BodyText"/>
        <w:jc w:val="both"/>
        <w:rPr>
          <w:b/>
        </w:rPr>
      </w:pPr>
      <w:r>
        <w:rPr>
          <w:b/>
        </w:rPr>
      </w:r>
    </w:p>
    <w:p>
      <w:pPr>
        <w:pStyle w:val="BodyText"/>
        <w:jc w:val="both"/>
        <w:rPr/>
      </w:pPr>
      <w:r>
        <w:rPr/>
        <w:t xml:space="preserve">All new Foreign Exchange, Currency Option and Interest Rate Derivative transactions previously booked with National Westminster Bank Plc, will be traded in the name of The Royal Bank of Scotland plc from </w:t>
      </w:r>
      <w:r>
        <w:rPr>
          <w:b/>
        </w:rPr>
        <w:t>Monday, October 29</w:t>
      </w:r>
      <w:r>
        <w:rPr>
          <w:b/>
          <w:vertAlign w:val="superscript"/>
        </w:rPr>
        <w:t>th</w:t>
      </w:r>
      <w:r>
        <w:rPr/>
        <w:t xml:space="preserve"> onwards (if not already doing so).  </w:t>
      </w:r>
    </w:p>
    <w:p>
      <w:pPr>
        <w:pStyle w:val="Normal"/>
        <w:jc w:val="both"/>
        <w:rPr>
          <w:b/>
        </w:rPr>
      </w:pPr>
      <w:r>
        <w:rPr>
          <w:b/>
        </w:rPr>
      </w:r>
    </w:p>
    <w:p>
      <w:pPr>
        <w:pStyle w:val="BodyText"/>
        <w:jc w:val="both"/>
        <w:rPr/>
      </w:pPr>
      <w:r>
        <w:rPr/>
        <w:t>To facilitate this novation, we enclose communication from our Legal &amp; Compliance with two copies of a signed Novation Agreement.</w:t>
      </w:r>
    </w:p>
    <w:p>
      <w:pPr>
        <w:pStyle w:val="BodyText"/>
        <w:jc w:val="both"/>
        <w:rPr/>
      </w:pPr>
      <w:r>
        <w:rPr/>
      </w:r>
    </w:p>
    <w:p>
      <w:pPr>
        <w:pStyle w:val="BodyText"/>
        <w:jc w:val="both"/>
        <w:rPr>
          <w:b/>
        </w:rPr>
      </w:pPr>
      <w:r>
        <w:rPr>
          <w:b/>
        </w:rPr>
        <w:t>For all trades in the RBS name, settlement should be made using the new Standard Settlement Instructions attached.  We also request that you sign and return by fax or post to the address below, the Standard Settlement Instructions Acknowledgement Slip by Wednesday, October 3</w:t>
      </w:r>
      <w:r>
        <w:rPr>
          <w:b/>
          <w:vertAlign w:val="superscript"/>
        </w:rPr>
        <w:t>rd</w:t>
      </w:r>
      <w:r>
        <w:rPr>
          <w:b/>
        </w:rPr>
        <w:t xml:space="preserve"> 2001.</w:t>
      </w:r>
    </w:p>
    <w:p>
      <w:pPr>
        <w:pStyle w:val="Normal"/>
        <w:jc w:val="both"/>
        <w:rPr>
          <w:b/>
        </w:rPr>
      </w:pPr>
      <w:r>
        <w:rPr>
          <w:b/>
        </w:rPr>
      </w:r>
    </w:p>
    <w:p>
      <w:pPr>
        <w:pStyle w:val="Normal"/>
        <w:jc w:val="both"/>
        <w:rPr/>
      </w:pPr>
      <w:r>
        <w:rPr/>
        <w:t xml:space="preserve">Please note there are </w:t>
      </w:r>
      <w:r>
        <w:rPr>
          <w:b/>
        </w:rPr>
        <w:t>different</w:t>
      </w:r>
      <w:r>
        <w:rPr/>
        <w:t xml:space="preserve"> SWIFT addresses and Standard Settlement Instructions for Treasury transactions (Foreign Exchange, Money Market, Currency Options and Equity Index Derivatives) and Derivative transactions  (FRA’s, Interest Rate and Commodity Swaps, Interest Rate and Commodity Options, and Credit Derivatives).</w:t>
      </w:r>
    </w:p>
    <w:p>
      <w:pPr>
        <w:pStyle w:val="BodyText"/>
        <w:jc w:val="both"/>
        <w:rPr>
          <w:b/>
        </w:rPr>
      </w:pPr>
      <w:r>
        <w:rPr>
          <w:b/>
        </w:rPr>
      </w:r>
      <w:r>
        <w:br w:type="page"/>
      </w:r>
    </w:p>
    <w:p>
      <w:pPr>
        <w:pStyle w:val="Normal"/>
        <w:jc w:val="both"/>
        <w:rPr/>
      </w:pPr>
      <w:r>
        <w:rPr>
          <w:color w:val="000000"/>
          <w:lang w:eastAsia="en-US"/>
        </w:rPr>
        <w:t xml:space="preserve">If you have any questions please contact </w:t>
      </w:r>
      <w:r>
        <w:rPr>
          <w:color w:val="000000"/>
        </w:rPr>
        <w:t>The Novation Support Helpdesk: -</w:t>
      </w:r>
    </w:p>
    <w:p>
      <w:pPr>
        <w:pStyle w:val="Normal"/>
        <w:jc w:val="both"/>
        <w:rPr>
          <w:color w:val="000000"/>
        </w:rPr>
      </w:pPr>
      <w:r>
        <w:rPr>
          <w:color w:val="000000"/>
        </w:rPr>
      </w:r>
    </w:p>
    <w:tbl>
      <w:tblPr>
        <w:tblW w:w="6408" w:type="dxa"/>
        <w:jc w:val="start"/>
        <w:tblInd w:w="0" w:type="dxa"/>
        <w:tblLayout w:type="fixed"/>
        <w:tblCellMar>
          <w:top w:w="0" w:type="dxa"/>
          <w:start w:w="108" w:type="dxa"/>
          <w:bottom w:w="0" w:type="dxa"/>
          <w:end w:w="108" w:type="dxa"/>
        </w:tblCellMar>
      </w:tblPr>
      <w:tblGrid>
        <w:gridCol w:w="2088"/>
        <w:gridCol w:w="288"/>
        <w:gridCol w:w="4032"/>
      </w:tblGrid>
      <w:tr>
        <w:trPr/>
        <w:tc>
          <w:tcPr>
            <w:tcW w:w="2088" w:type="dxa"/>
            <w:tcBorders/>
          </w:tcPr>
          <w:p>
            <w:pPr>
              <w:pStyle w:val="Normal"/>
              <w:spacing w:before="0" w:after="60"/>
              <w:jc w:val="both"/>
              <w:rPr>
                <w:color w:val="000000"/>
              </w:rPr>
            </w:pPr>
            <w:r>
              <w:rPr>
                <w:color w:val="000000"/>
              </w:rPr>
              <w:t>Telephone Number</w:t>
            </w:r>
          </w:p>
        </w:tc>
        <w:tc>
          <w:tcPr>
            <w:tcW w:w="288" w:type="dxa"/>
            <w:tcBorders/>
          </w:tcPr>
          <w:p>
            <w:pPr>
              <w:pStyle w:val="Normal"/>
              <w:spacing w:before="0" w:after="60"/>
              <w:jc w:val="both"/>
              <w:rPr>
                <w:color w:val="000000"/>
              </w:rPr>
            </w:pPr>
            <w:r>
              <w:rPr>
                <w:color w:val="000000"/>
              </w:rPr>
              <w:t>:</w:t>
            </w:r>
          </w:p>
        </w:tc>
        <w:tc>
          <w:tcPr>
            <w:tcW w:w="4032" w:type="dxa"/>
            <w:tcBorders/>
          </w:tcPr>
          <w:p>
            <w:pPr>
              <w:pStyle w:val="Normal"/>
              <w:spacing w:before="0" w:after="60"/>
              <w:jc w:val="both"/>
              <w:rPr>
                <w:color w:val="000000"/>
              </w:rPr>
            </w:pPr>
            <w:r>
              <w:rPr>
                <w:color w:val="000000"/>
              </w:rPr>
              <w:t>+44 (0) 207-375-5100</w:t>
            </w:r>
          </w:p>
        </w:tc>
      </w:tr>
      <w:tr>
        <w:trPr/>
        <w:tc>
          <w:tcPr>
            <w:tcW w:w="2088" w:type="dxa"/>
            <w:tcBorders/>
          </w:tcPr>
          <w:p>
            <w:pPr>
              <w:pStyle w:val="Normal"/>
              <w:spacing w:before="0" w:after="60"/>
              <w:jc w:val="both"/>
              <w:rPr>
                <w:color w:val="000000"/>
              </w:rPr>
            </w:pPr>
            <w:r>
              <w:rPr>
                <w:color w:val="000000"/>
              </w:rPr>
              <w:t>E-mail</w:t>
            </w:r>
          </w:p>
        </w:tc>
        <w:tc>
          <w:tcPr>
            <w:tcW w:w="288" w:type="dxa"/>
            <w:tcBorders/>
          </w:tcPr>
          <w:p>
            <w:pPr>
              <w:pStyle w:val="Normal"/>
              <w:spacing w:before="0" w:after="60"/>
              <w:jc w:val="both"/>
              <w:rPr>
                <w:color w:val="000000"/>
              </w:rPr>
            </w:pPr>
            <w:r>
              <w:rPr>
                <w:color w:val="000000"/>
              </w:rPr>
              <w:t>:</w:t>
            </w:r>
          </w:p>
        </w:tc>
        <w:tc>
          <w:tcPr>
            <w:tcW w:w="4032" w:type="dxa"/>
            <w:tcBorders/>
          </w:tcPr>
          <w:p>
            <w:pPr>
              <w:pStyle w:val="Normal"/>
              <w:spacing w:before="0" w:after="60"/>
              <w:jc w:val="both"/>
              <w:rPr>
                <w:color w:val="000000"/>
              </w:rPr>
            </w:pPr>
            <w:hyperlink r:id="rId2">
              <w:r>
                <w:rPr>
                  <w:rStyle w:val="Hyperlink"/>
                </w:rPr>
                <w:t>Integrationhelpdesk@rbos.com</w:t>
              </w:r>
            </w:hyperlink>
          </w:p>
        </w:tc>
      </w:tr>
      <w:tr>
        <w:trPr/>
        <w:tc>
          <w:tcPr>
            <w:tcW w:w="2088" w:type="dxa"/>
            <w:tcBorders/>
          </w:tcPr>
          <w:p>
            <w:pPr>
              <w:pStyle w:val="Normal"/>
              <w:jc w:val="both"/>
              <w:rPr>
                <w:color w:val="000000"/>
              </w:rPr>
            </w:pPr>
            <w:r>
              <w:rPr>
                <w:color w:val="000000"/>
                <w:lang w:eastAsia="en-US"/>
              </w:rPr>
              <w:t>Address</w:t>
            </w:r>
          </w:p>
        </w:tc>
        <w:tc>
          <w:tcPr>
            <w:tcW w:w="288" w:type="dxa"/>
            <w:tcBorders/>
          </w:tcPr>
          <w:p>
            <w:pPr>
              <w:pStyle w:val="Normal"/>
              <w:jc w:val="both"/>
              <w:rPr>
                <w:color w:val="000000"/>
              </w:rPr>
            </w:pPr>
            <w:r>
              <w:rPr>
                <w:color w:val="000000"/>
              </w:rPr>
              <w:t>:</w:t>
            </w:r>
          </w:p>
        </w:tc>
        <w:tc>
          <w:tcPr>
            <w:tcW w:w="4032" w:type="dxa"/>
            <w:tcBorders/>
          </w:tcPr>
          <w:p>
            <w:pPr>
              <w:pStyle w:val="Normal"/>
              <w:jc w:val="both"/>
              <w:rPr>
                <w:color w:val="000000"/>
                <w:lang w:eastAsia="en-US"/>
              </w:rPr>
            </w:pPr>
            <w:r>
              <w:rPr>
                <w:color w:val="000000"/>
                <w:lang w:eastAsia="en-US"/>
              </w:rPr>
              <w:t>The Royal Bank of Scotland</w:t>
            </w:r>
          </w:p>
          <w:p>
            <w:pPr>
              <w:pStyle w:val="Normal"/>
              <w:jc w:val="both"/>
              <w:rPr>
                <w:color w:val="000000"/>
                <w:lang w:eastAsia="en-US"/>
              </w:rPr>
            </w:pPr>
            <w:r>
              <w:rPr>
                <w:color w:val="000000"/>
                <w:lang w:eastAsia="en-US"/>
              </w:rPr>
              <w:t>Novation Support Helpdesk</w:t>
            </w:r>
          </w:p>
          <w:p>
            <w:pPr>
              <w:pStyle w:val="Normal"/>
              <w:jc w:val="both"/>
              <w:rPr/>
            </w:pPr>
            <w:r>
              <w:rPr>
                <w:color w:val="000000"/>
                <w:lang w:eastAsia="en-US"/>
              </w:rPr>
              <w:t>3</w:t>
            </w:r>
            <w:r>
              <w:rPr>
                <w:color w:val="000000"/>
                <w:vertAlign w:val="superscript"/>
                <w:lang w:eastAsia="en-US"/>
              </w:rPr>
              <w:t>rd</w:t>
            </w:r>
            <w:r>
              <w:rPr>
                <w:color w:val="000000"/>
                <w:lang w:eastAsia="en-US"/>
              </w:rPr>
              <w:t xml:space="preserve"> Floor, Drapers Garden</w:t>
            </w:r>
          </w:p>
          <w:p>
            <w:pPr>
              <w:pStyle w:val="Normal"/>
              <w:jc w:val="both"/>
              <w:rPr>
                <w:color w:val="000000"/>
                <w:lang w:eastAsia="en-US"/>
              </w:rPr>
            </w:pPr>
            <w:r>
              <w:rPr>
                <w:color w:val="000000"/>
                <w:lang w:eastAsia="en-US"/>
              </w:rPr>
              <w:t>12, Throgmorton Avenue</w:t>
            </w:r>
          </w:p>
          <w:p>
            <w:pPr>
              <w:pStyle w:val="Normal"/>
              <w:jc w:val="both"/>
              <w:rPr>
                <w:color w:val="000000"/>
                <w:lang w:eastAsia="en-US"/>
              </w:rPr>
            </w:pPr>
            <w:r>
              <w:rPr>
                <w:color w:val="000000"/>
                <w:lang w:eastAsia="en-US"/>
              </w:rPr>
              <w:t>London EC2N 2DL</w:t>
            </w:r>
          </w:p>
          <w:p>
            <w:pPr>
              <w:pStyle w:val="Normal"/>
              <w:jc w:val="both"/>
              <w:rPr>
                <w:color w:val="000000"/>
              </w:rPr>
            </w:pPr>
            <w:r>
              <w:rPr>
                <w:color w:val="000000"/>
                <w:lang w:eastAsia="en-US"/>
              </w:rPr>
              <w:t>United Kingdom</w:t>
            </w:r>
          </w:p>
        </w:tc>
      </w:tr>
    </w:tbl>
    <w:p>
      <w:pPr>
        <w:pStyle w:val="Normal"/>
        <w:jc w:val="both"/>
        <w:rPr>
          <w:color w:val="000000"/>
          <w:lang w:eastAsia="en-US"/>
        </w:rPr>
      </w:pPr>
      <w:r>
        <w:rPr>
          <w:color w:val="000000"/>
          <w:lang w:eastAsia="en-US"/>
        </w:rPr>
      </w:r>
    </w:p>
    <w:p>
      <w:pPr>
        <w:pStyle w:val="Normal"/>
        <w:jc w:val="both"/>
        <w:rPr>
          <w:color w:val="000000"/>
          <w:lang w:eastAsia="en-US"/>
        </w:rPr>
      </w:pPr>
      <w:r>
        <w:rPr>
          <w:color w:val="000000"/>
          <w:lang w:eastAsia="en-US"/>
        </w:rPr>
        <w:t>Alternatively, you can call your local Financial Markets Relationship Manager, Sales person or one of the Operations contacts in Attachment 1.</w:t>
      </w:r>
    </w:p>
    <w:p>
      <w:pPr>
        <w:pStyle w:val="Normal"/>
        <w:jc w:val="both"/>
        <w:rPr>
          <w:color w:val="000000"/>
          <w:lang w:eastAsia="en-US"/>
        </w:rPr>
      </w:pPr>
      <w:r>
        <w:rPr>
          <w:color w:val="000000"/>
          <w:lang w:eastAsia="en-US"/>
        </w:rPr>
      </w:r>
    </w:p>
    <w:p>
      <w:pPr>
        <w:pStyle w:val="BodyText3"/>
        <w:rPr/>
      </w:pPr>
      <w:r>
        <w:rPr/>
        <w:t>Please note that, as part of this exercise it may be necessary for you to adjust your credit limits between the two respective banks.</w:t>
      </w:r>
    </w:p>
    <w:p>
      <w:pPr>
        <w:pStyle w:val="Normal"/>
        <w:rPr>
          <w:color w:val="000000"/>
          <w:lang w:eastAsia="en-US"/>
        </w:rPr>
      </w:pPr>
      <w:r>
        <w:rPr>
          <w:color w:val="000000"/>
          <w:lang w:eastAsia="en-US"/>
        </w:rPr>
      </w:r>
    </w:p>
    <w:p>
      <w:pPr>
        <w:pStyle w:val="Normal"/>
        <w:rPr>
          <w:color w:val="000000"/>
        </w:rPr>
      </w:pPr>
      <w:r>
        <w:rPr>
          <w:color w:val="000000"/>
        </w:rPr>
        <w:t>Many thanks for your co-operation. Please be assured of our commitment to maintaining the highest standards of service during this transition period.</w:t>
      </w:r>
    </w:p>
    <w:p>
      <w:pPr>
        <w:pStyle w:val="Normal"/>
        <w:jc w:val="both"/>
        <w:rPr>
          <w:color w:val="000000"/>
        </w:rPr>
      </w:pPr>
      <w:r>
        <w:rPr>
          <w:color w:val="000000"/>
        </w:rPr>
      </w:r>
    </w:p>
    <w:p>
      <w:pPr>
        <w:pStyle w:val="Normal"/>
        <w:jc w:val="both"/>
        <w:rPr>
          <w:color w:val="000000"/>
          <w:lang w:eastAsia="en-US"/>
        </w:rPr>
      </w:pPr>
      <w:r>
        <w:rPr>
          <w:color w:val="000000"/>
          <w:lang w:eastAsia="en-US"/>
        </w:rPr>
        <w:t>Yours sincerely,</w:t>
      </w:r>
    </w:p>
    <w:p>
      <w:pPr>
        <w:pStyle w:val="Normal"/>
        <w:jc w:val="both"/>
        <w:rPr>
          <w:color w:val="000000"/>
          <w:lang w:eastAsia="en-US"/>
        </w:rPr>
      </w:pPr>
      <w:r>
        <w:object w:dxaOrig="5894" w:dyaOrig="2294">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1.35pt;margin-top:3.5pt;width:147.7pt;height:57.5pt;mso-wrap-distance-left:9.05pt;mso-wrap-distance-right:9.05pt;mso-position-horizontal-relative:text;mso-position-vertical-relative:text" filled="f" o:ole="">
            <v:imagedata r:id="rId4" o:title=""/>
            <w10:wrap type="topAndBottom"/>
          </v:shape>
          <o:OLEObject Type="Embed" ProgID="" ShapeID="ole_rId3" DrawAspect="Content" ObjectID="_475094109" r:id="rId3"/>
        </w:object>
      </w:r>
      <w:r>
        <w:rPr>
          <w:color w:val="000000"/>
          <w:lang w:eastAsia="en-US"/>
        </w:rPr>
        <w:t>Colin Calverly</w:t>
      </w:r>
    </w:p>
    <w:p>
      <w:pPr>
        <w:pStyle w:val="Normal"/>
        <w:jc w:val="both"/>
        <w:rPr>
          <w:color w:val="000000"/>
          <w:lang w:eastAsia="en-US"/>
        </w:rPr>
      </w:pPr>
      <w:r>
        <w:rPr>
          <w:color w:val="000000"/>
          <w:lang w:eastAsia="en-US"/>
        </w:rPr>
        <w:t>Head of Interest Rate Derivatives Settlements</w:t>
      </w:r>
    </w:p>
    <w:p>
      <w:pPr>
        <w:pStyle w:val="Normal"/>
        <w:jc w:val="both"/>
        <w:rPr>
          <w:color w:val="000000"/>
          <w:lang w:eastAsia="en-US"/>
        </w:rPr>
      </w:pPr>
      <w:r>
        <w:rPr>
          <w:color w:val="000000"/>
          <w:lang w:eastAsia="en-US"/>
        </w:rPr>
      </w:r>
    </w:p>
    <w:sectPr>
      <w:footerReference w:type="default" r:id="rId5"/>
      <w:footerReference w:type="first" r:id="rId6"/>
      <w:type w:val="nextPage"/>
      <w:pgSz w:w="11906" w:h="16838"/>
      <w:pgMar w:left="1701" w:right="1140" w:gutter="0" w:header="0" w:top="1843" w:footer="851" w:bottom="90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6"/>
      </w:rPr>
    </w:pPr>
    <w:r>
      <w:rPr>
        <w:sz w:val="16"/>
      </w:rPr>
      <w:t>File:- October Legal Letter</w:t>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274320" cy="116840"/>
              <wp:effectExtent l="0" t="0" r="0" b="0"/>
              <wp:wrapSquare wrapText="bothSides"/>
              <wp:docPr id="1" name="Frame1"/>
              <a:graphic xmlns:a="http://schemas.openxmlformats.org/drawingml/2006/main">
                <a:graphicData uri="http://schemas.microsoft.com/office/word/2010/wordprocessingShape">
                  <wps:wsp>
                    <wps:cNvSpPr txBox="1"/>
                    <wps:spPr>
                      <a:xfrm>
                        <a:off x="0" y="0"/>
                        <a:ext cx="274320" cy="116840"/>
                      </a:xfrm>
                      <a:prstGeom prst="rect"/>
                      <a:solidFill>
                        <a:srgbClr val="FFFFFF">
                          <a:alpha val="0"/>
                        </a:srgbClr>
                      </a:solidFill>
                    </wps:spPr>
                    <wps:txbx>
                      <w:txbxContent>
                        <w:p>
                          <w:pPr>
                            <w:pStyle w:val="Footer"/>
                            <w:rPr>
                              <w:rStyle w:val="PageNumber"/>
                              <w:sz w:val="16"/>
                            </w:rPr>
                          </w:pPr>
                          <w:r>
                            <w:rPr>
                              <w:rStyle w:val="PageNumbe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2</w:t>
                          </w:r>
                          <w:r>
                            <w:rPr>
                              <w:rStyle w:val="PageNumber"/>
                              <w:sz w:val="16"/>
                            </w:rPr>
                            <w:fldChar w:fldCharType="end"/>
                          </w:r>
                        </w:p>
                      </w:txbxContent>
                    </wps:txbx>
                    <wps:bodyPr anchor="t" lIns="0" tIns="0" rIns="0" bIns="0">
                      <a:noAutofit/>
                    </wps:bodyPr>
                  </wps:wsp>
                </a:graphicData>
              </a:graphic>
            </wp:anchor>
          </w:drawing>
        </mc:Choice>
        <mc:Fallback>
          <w:pict>
            <v:rect fillcolor="#FFFFFF" style="position:absolute;rotation:-0;width:21.6pt;height:9.2pt;mso-wrap-distance-left:0pt;mso-wrap-distance-right:0pt;mso-wrap-distance-top:0pt;mso-wrap-distance-bottom:0pt;margin-top:0.05pt;mso-position-vertical-relative:text;margin-left:431.65pt;mso-position-horizontal:right;mso-position-horizontal-relative:margin">
              <v:fill opacity="0f"/>
              <v:textbox inset="0in,0in,0in,0in">
                <w:txbxContent>
                  <w:p>
                    <w:pPr>
                      <w:pStyle w:val="Footer"/>
                      <w:rPr>
                        <w:rStyle w:val="PageNumber"/>
                        <w:sz w:val="16"/>
                      </w:rPr>
                    </w:pPr>
                    <w:r>
                      <w:rPr>
                        <w:rStyle w:val="PageNumbe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2</w:t>
                    </w:r>
                    <w:r>
                      <w:rPr>
                        <w:rStyle w:val="PageNumber"/>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852" w:type="dxa"/>
      <w:jc w:val="start"/>
      <w:tblInd w:w="0" w:type="dxa"/>
      <w:tblLayout w:type="fixed"/>
      <w:tblCellMar>
        <w:top w:w="0" w:type="dxa"/>
        <w:start w:w="71" w:type="dxa"/>
        <w:bottom w:w="0" w:type="dxa"/>
        <w:end w:w="71" w:type="dxa"/>
      </w:tblCellMar>
    </w:tblPr>
    <w:tblGrid>
      <w:gridCol w:w="6158"/>
      <w:gridCol w:w="3694"/>
    </w:tblGrid>
    <w:tr>
      <w:trPr/>
      <w:tc>
        <w:tcPr>
          <w:tcW w:w="6158" w:type="dxa"/>
          <w:tcBorders/>
        </w:tcPr>
        <w:p>
          <w:pPr>
            <w:pStyle w:val="Footer"/>
            <w:tabs>
              <w:tab w:val="clear" w:pos="4536"/>
              <w:tab w:val="left" w:pos="5387" w:leader="none"/>
              <w:tab w:val="right" w:pos="9072" w:leader="none"/>
            </w:tabs>
            <w:snapToGrid w:val="false"/>
            <w:rPr>
              <w:rFonts w:ascii="Arial" w:hAnsi="Arial" w:cs="Arial"/>
              <w:sz w:val="12"/>
            </w:rPr>
          </w:pPr>
          <w:r>
            <w:rPr>
              <w:rFonts w:cs="Arial" w:ascii="Arial" w:hAnsi="Arial"/>
              <w:sz w:val="12"/>
            </w:rPr>
          </w:r>
        </w:p>
        <w:p>
          <w:pPr>
            <w:pStyle w:val="Footer"/>
            <w:tabs>
              <w:tab w:val="clear" w:pos="4536"/>
              <w:tab w:val="left" w:pos="5387" w:leader="none"/>
              <w:tab w:val="right" w:pos="9072" w:leader="none"/>
            </w:tabs>
            <w:spacing w:before="0" w:after="40"/>
            <w:rPr>
              <w:rFonts w:ascii="Arial" w:hAnsi="Arial" w:cs="Arial"/>
              <w:sz w:val="12"/>
            </w:rPr>
          </w:pPr>
          <w:r>
            <w:rPr>
              <w:rFonts w:cs="Arial" w:ascii="Arial" w:hAnsi="Arial"/>
              <w:sz w:val="12"/>
            </w:rPr>
          </w:r>
        </w:p>
        <w:p>
          <w:pPr>
            <w:pStyle w:val="Footer"/>
            <w:tabs>
              <w:tab w:val="clear" w:pos="4536"/>
              <w:tab w:val="left" w:pos="5387" w:leader="none"/>
              <w:tab w:val="right" w:pos="9072" w:leader="none"/>
            </w:tabs>
            <w:spacing w:before="70" w:after="90"/>
            <w:ind w:start="-57" w:end="0"/>
            <w:rPr>
              <w:rFonts w:ascii="Arial" w:hAnsi="Arial" w:cs="Arial"/>
              <w:sz w:val="14"/>
            </w:rPr>
          </w:pPr>
          <w:r>
            <w:rPr>
              <w:lang w:val="en-CA"/>
            </w:rPr>
            <w:drawing>
              <wp:inline distT="0" distB="0" distL="0" distR="0">
                <wp:extent cx="916305" cy="202565"/>
                <wp:effectExtent l="0" t="0" r="0" b="0"/>
                <wp:docPr id="2" name="NATWEST"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ATWEST" descr="" title=""/>
                        <pic:cNvPicPr>
                          <a:picLocks noChangeAspect="1" noChangeArrowheads="1"/>
                        </pic:cNvPicPr>
                      </pic:nvPicPr>
                      <pic:blipFill>
                        <a:blip r:embed="rId1"/>
                        <a:srcRect l="-11" t="-50" r="-11" b="-50"/>
                        <a:stretch>
                          <a:fillRect/>
                        </a:stretch>
                      </pic:blipFill>
                      <pic:spPr bwMode="auto">
                        <a:xfrm>
                          <a:off x="0" y="0"/>
                          <a:ext cx="916305" cy="202565"/>
                        </a:xfrm>
                        <a:prstGeom prst="rect">
                          <a:avLst/>
                        </a:prstGeom>
                        <a:noFill/>
                      </pic:spPr>
                    </pic:pic>
                  </a:graphicData>
                </a:graphic>
              </wp:inline>
            </w:drawing>
          </w:r>
        </w:p>
        <w:p>
          <w:pPr>
            <w:pStyle w:val="Footer"/>
            <w:tabs>
              <w:tab w:val="clear" w:pos="4536"/>
              <w:tab w:val="left" w:pos="5387" w:leader="none"/>
              <w:tab w:val="right" w:pos="9072" w:leader="none"/>
            </w:tabs>
            <w:rPr>
              <w:rFonts w:ascii="Arial" w:hAnsi="Arial" w:cs="Arial"/>
              <w:sz w:val="12"/>
            </w:rPr>
          </w:pPr>
          <w:r>
            <w:rPr>
              <w:rFonts w:cs="Arial" w:ascii="Arial" w:hAnsi="Arial"/>
              <w:sz w:val="12"/>
            </w:rPr>
            <w:t>is a member of The Royal Bank of Scotland Group</w:t>
          </w:r>
        </w:p>
      </w:tc>
      <w:tc>
        <w:tcPr>
          <w:tcW w:w="3694" w:type="dxa"/>
          <w:tcBorders/>
        </w:tcPr>
        <w:p>
          <w:pPr>
            <w:pStyle w:val="Footer"/>
            <w:tabs>
              <w:tab w:val="clear" w:pos="4536"/>
              <w:tab w:val="left" w:pos="5387" w:leader="none"/>
              <w:tab w:val="right" w:pos="9072" w:leader="none"/>
            </w:tabs>
            <w:rPr>
              <w:rFonts w:ascii="Arial" w:hAnsi="Arial" w:cs="Arial"/>
              <w:sz w:val="12"/>
            </w:rPr>
          </w:pPr>
          <w:r>
            <w:rPr>
              <w:rFonts w:cs="Arial" w:ascii="Arial" w:hAnsi="Arial"/>
              <w:sz w:val="12"/>
            </w:rPr>
            <w:t>The Royal Bank of Scotland plc is registered in Scotland No 90312</w:t>
          </w:r>
        </w:p>
        <w:p>
          <w:pPr>
            <w:pStyle w:val="Footer"/>
            <w:tabs>
              <w:tab w:val="clear" w:pos="4536"/>
              <w:tab w:val="left" w:pos="5387" w:leader="none"/>
              <w:tab w:val="right" w:pos="9072" w:leader="none"/>
            </w:tabs>
            <w:rPr>
              <w:rFonts w:ascii="Arial" w:hAnsi="Arial" w:cs="Arial"/>
              <w:sz w:val="12"/>
            </w:rPr>
          </w:pPr>
          <w:r>
            <w:rPr>
              <w:rFonts w:cs="Arial" w:ascii="Arial" w:hAnsi="Arial"/>
              <w:sz w:val="12"/>
            </w:rPr>
            <w:t>Registered Office: 36 St. Andrew Square, Edinburgh EH2 2YB</w:t>
          </w:r>
        </w:p>
        <w:p>
          <w:pPr>
            <w:pStyle w:val="Footer"/>
            <w:tabs>
              <w:tab w:val="clear" w:pos="4536"/>
              <w:tab w:val="left" w:pos="5387" w:leader="none"/>
              <w:tab w:val="right" w:pos="9072" w:leader="none"/>
            </w:tabs>
            <w:spacing w:before="120" w:after="0"/>
            <w:rPr>
              <w:rFonts w:ascii="Arial" w:hAnsi="Arial" w:cs="Arial"/>
              <w:sz w:val="12"/>
            </w:rPr>
          </w:pPr>
          <w:r>
            <w:rPr>
              <w:rFonts w:cs="Arial" w:ascii="Arial" w:hAnsi="Arial"/>
              <w:sz w:val="12"/>
            </w:rPr>
            <w:t>A member of the London Stock Exchange and regulated by IMRO, SFA and Personal Investment Authority</w:t>
          </w:r>
        </w:p>
        <w:p>
          <w:pPr>
            <w:pStyle w:val="Footer"/>
            <w:spacing w:before="120" w:after="0"/>
            <w:rPr>
              <w:rFonts w:ascii="Arial" w:hAnsi="Arial" w:cs="Arial"/>
              <w:sz w:val="12"/>
            </w:rPr>
          </w:pPr>
          <w:r>
            <w:rPr>
              <w:rFonts w:cs="Arial" w:ascii="Arial" w:hAnsi="Arial"/>
              <w:sz w:val="12"/>
            </w:rPr>
            <w:t>Agency agreements exist between members of The Royal Bank of Scotland Group</w:t>
          </w:r>
        </w:p>
      </w:tc>
    </w:tr>
  </w:tbl>
  <w:p>
    <w:pPr>
      <w:pStyle w:val="Footer"/>
      <w:rPr>
        <w:sz w:val="12"/>
      </w:rPr>
    </w:pPr>
    <w:r>
      <w:rPr>
        <w:sz w:val="1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GB" w:eastAsia="zh-CN" w:bidi="hi-IN"/>
    </w:rPr>
  </w:style>
  <w:style w:type="paragraph" w:styleId="Heading1">
    <w:name w:val="heading 1"/>
    <w:basedOn w:val="Normal"/>
    <w:next w:val="Normal"/>
    <w:qFormat/>
    <w:pPr>
      <w:keepNext w:val="true"/>
      <w:numPr>
        <w:ilvl w:val="0"/>
        <w:numId w:val="1"/>
      </w:numPr>
      <w:outlineLvl w:val="0"/>
    </w:pPr>
    <w:rPr>
      <w:i/>
      <w:sz w:val="24"/>
    </w:rPr>
  </w:style>
  <w:style w:type="paragraph" w:styleId="Heading2">
    <w:name w:val="heading 2"/>
    <w:basedOn w:val="Normal"/>
    <w:next w:val="Normal"/>
    <w:qFormat/>
    <w:pPr>
      <w:keepNext w:val="true"/>
      <w:numPr>
        <w:ilvl w:val="1"/>
        <w:numId w:val="1"/>
      </w:numPr>
      <w:jc w:val="both"/>
      <w:outlineLvl w:val="1"/>
    </w:pPr>
    <w:rPr>
      <w:b/>
    </w:rPr>
  </w:style>
  <w:style w:type="character" w:styleId="WW8Num1z0">
    <w:name w:val="WW8Num1z0"/>
    <w:qFormat/>
    <w:rPr>
      <w:rFonts w:ascii="Symbol" w:hAnsi="Symbol" w:cs="Symbol"/>
    </w:rPr>
  </w:style>
  <w:style w:type="character" w:styleId="WW8Num2z0">
    <w:name w:val="WW8Num2z0"/>
    <w:qFormat/>
    <w:rPr>
      <w:rFonts w:ascii="Symbol" w:hAnsi="Symbol" w:cs="Symbol"/>
      <w:color w:val="auto"/>
      <w:sz w:val="20"/>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color w:val="auto"/>
      <w:sz w:val="20"/>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color w:val="auto"/>
      <w:sz w:val="20"/>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536" w:leader="none"/>
        <w:tab w:val="right" w:pos="9072" w:leader="none"/>
      </w:tabs>
    </w:pPr>
    <w:rPr/>
  </w:style>
  <w:style w:type="paragraph" w:styleId="Footer">
    <w:name w:val="footer"/>
    <w:basedOn w:val="Normal"/>
    <w:pPr>
      <w:tabs>
        <w:tab w:val="clear" w:pos="720"/>
        <w:tab w:val="center" w:pos="4536" w:leader="none"/>
        <w:tab w:val="right" w:pos="9072" w:leader="none"/>
      </w:tabs>
    </w:pPr>
    <w:rPr/>
  </w:style>
  <w:style w:type="paragraph" w:styleId="Subject">
    <w:name w:val="Subject"/>
    <w:basedOn w:val="Normal"/>
    <w:next w:val="Normal"/>
    <w:qFormat/>
    <w:pPr/>
    <w:rPr>
      <w:b/>
      <w:sz w:val="24"/>
    </w:rPr>
  </w:style>
  <w:style w:type="paragraph" w:styleId="BodyText2">
    <w:name w:val="Body Text 2"/>
    <w:basedOn w:val="Normal"/>
    <w:qFormat/>
    <w:pPr/>
    <w:rPr>
      <w:sz w:val="24"/>
    </w:rPr>
  </w:style>
  <w:style w:type="paragraph" w:styleId="YourRef">
    <w:name w:val="Your_Ref"/>
    <w:basedOn w:val="Normal"/>
    <w:qFormat/>
    <w:pPr/>
    <w:rPr>
      <w:sz w:val="20"/>
    </w:rPr>
  </w:style>
  <w:style w:type="paragraph" w:styleId="RBSContentbullet">
    <w:name w:val="RBS Content bullet"/>
    <w:basedOn w:val="BodyText"/>
    <w:qFormat/>
    <w:pPr>
      <w:tabs>
        <w:tab w:val="clear" w:pos="720"/>
        <w:tab w:val="right" w:pos="5103" w:leader="none"/>
      </w:tabs>
      <w:spacing w:lineRule="exact" w:line="360" w:before="0" w:after="200"/>
    </w:pPr>
    <w:rPr>
      <w:rFonts w:ascii="Arial" w:hAnsi="Arial" w:cs="Arial"/>
    </w:rPr>
  </w:style>
  <w:style w:type="paragraph" w:styleId="BodyText3">
    <w:name w:val="Body Text 3"/>
    <w:basedOn w:val="Normal"/>
    <w:qFormat/>
    <w:pPr>
      <w:widowControl w:val="false"/>
      <w:jc w:val="both"/>
    </w:pPr>
    <w:rPr>
      <w:rFonts w:eastAsia="ＭＳ 明朝"/>
      <w:b/>
      <w:color w:val="000000"/>
      <w:kern w:val="2"/>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tegrationhelpdesk@rbos.com" TargetMode="External"/><Relationship Id="rId3" Type="http://schemas.openxmlformats.org/officeDocument/2006/relationships/oleObject" Target="embeddings/oleObject1.bin"/><Relationship Id="rId4" Type="http://schemas.openxmlformats.org/officeDocument/2006/relationships/image" Target="media/image1.png"/><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NWCorp with Agreement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2001-09-25T13:53:00Z</dcterms:created>
  <dc:creator>Sylvia Smith</dc:creator>
  <dc:description>Version 1.3</dc:description>
  <dc:language>en-CA</dc:language>
  <cp:lastModifiedBy>Jamie Wood</cp:lastModifiedBy>
  <cp:lastPrinted>2001-09-18T10:35:00Z</cp:lastPrinted>
  <dcterms:modified xsi:type="dcterms:W3CDTF">2001-09-25T13:53:00Z</dcterms:modified>
  <cp:revision>2</cp:revision>
  <dc:subject/>
  <dc:title>NatWest Corporate with Agreement cover letter</dc:title>
</cp:coreProperties>
</file>