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ENA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NORTH AMERICA LEGAL RISKS</w:t>
      </w:r>
    </w:p>
    <w:p>
      <w:pPr>
        <w:pStyle w:val="Header"/>
        <w:tabs>
          <w:tab w:val="clear" w:pos="4320"/>
          <w:tab w:val="clear" w:pos="8640"/>
          <w:tab w:val="right" w:pos="14670" w:leader="none"/>
        </w:tabs>
        <w:spacing w:before="0" w:after="60"/>
        <w:jc w:val="center"/>
        <w:rPr/>
      </w:pPr>
      <w:r>
        <w:rPr/>
        <w:t>(as of 11/07/00)</w:t>
      </w:r>
    </w:p>
    <w:tbl>
      <w:tblPr>
        <w:tblW w:w="14760" w:type="dxa"/>
        <w:jc w:val="start"/>
        <w:tblInd w:w="-72" w:type="dxa"/>
        <w:tblLayout w:type="fixed"/>
        <w:tblCellMar>
          <w:top w:w="0" w:type="dxa"/>
          <w:start w:w="108" w:type="dxa"/>
          <w:bottom w:w="0" w:type="dxa"/>
          <w:end w:w="108" w:type="dxa"/>
        </w:tblCellMar>
      </w:tblPr>
      <w:tblGrid>
        <w:gridCol w:w="1890"/>
        <w:gridCol w:w="684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72" w:end="0"/>
              <w:rPr>
                <w:sz w:val="18"/>
              </w:rPr>
            </w:pPr>
            <w:r>
              <w:rPr>
                <w:sz w:val="18"/>
              </w:rPr>
              <w:t>Legal Risk</w:t>
            </w:r>
          </w:p>
        </w:tc>
        <w:tc>
          <w:tcPr>
            <w:tcW w:w="684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California Class Actions and Investigations (Sanders)</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 xml:space="preserve">EPMI has been sued in four class action lawsuits in California for alleged violations of the California Unfair Competition and Antitrust laws.  The California Public Utilities Commission, California Attorney General, and Federal Energy Regulatory Commission have initiated investigations of price manipulation and antitrust behavior by market participants, including EPMI.  </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Risk has not been quantified .  EPMI’s profits in California will be challenged.  There are also potential criminal violations.</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2002</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Duke/Citrus (Sanders)</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Duke has initiated the price renegotiation provision of the long term LNG Sales Agreement between Duke and Citrus.  Duke’s position in the arbitration is that the price cap outlined in the Agreement is not applicable.  Duke has also alleged that its supply obligations have been suspended because of force majeure.  Duke has further alleged that it has suffered a “loss of supply,” which caps Duke’s exposure on a $150 million to $75 million.</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$50-150 million at risk</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Arbitration is scheduled for July 1-3,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Alberta Sundance "B" PPA acquired in the August, 2000 Alberta PPA auction (Keohane)</w:t>
            </w:r>
          </w:p>
        </w:tc>
        <w:tc>
          <w:tcPr>
            <w:tcW w:w="68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PPA is a 706 megawatt 24x7x365 x 20 year commitment for which an upfront payment of Cdn. $300 million was paid and an obligation to pay the fixed and variable operating costs of the Sundance "B" Unit assumed.  The material risks are:</w:t>
            </w:r>
          </w:p>
          <w:p>
            <w:pPr>
              <w:pStyle w:val="Normal"/>
              <w:numPr>
                <w:ilvl w:val="0"/>
                <w:numId w:val="6"/>
              </w:numPr>
              <w:tabs>
                <w:tab w:val="clear" w:pos="720"/>
                <w:tab w:val="left" w:pos="425" w:leader="none"/>
              </w:tabs>
              <w:ind w:hanging="425" w:start="425" w:end="0"/>
              <w:rPr>
                <w:sz w:val="18"/>
              </w:rPr>
            </w:pPr>
            <w:r>
              <w:rPr>
                <w:sz w:val="18"/>
              </w:rPr>
              <w:t xml:space="preserve">the legal nature of the PPAs, which are not contracts but unsigned "arrangements" under the </w:t>
            </w:r>
            <w:r>
              <w:rPr>
                <w:i/>
                <w:sz w:val="18"/>
              </w:rPr>
              <w:t>Electric Utilities Act</w:t>
            </w:r>
            <w:r>
              <w:rPr>
                <w:sz w:val="18"/>
              </w:rPr>
              <w:t xml:space="preserve"> (Alberta);</w:t>
            </w:r>
          </w:p>
          <w:p>
            <w:pPr>
              <w:pStyle w:val="Normal"/>
              <w:numPr>
                <w:ilvl w:val="0"/>
                <w:numId w:val="6"/>
              </w:numPr>
              <w:tabs>
                <w:tab w:val="clear" w:pos="720"/>
                <w:tab w:val="left" w:pos="425" w:leader="none"/>
              </w:tabs>
              <w:ind w:hanging="425" w:start="425" w:end="0"/>
              <w:rPr>
                <w:sz w:val="18"/>
              </w:rPr>
            </w:pPr>
            <w:r>
              <w:rPr>
                <w:sz w:val="18"/>
              </w:rPr>
              <w:t>counterparty risk, as the PPAs have no credit, financial or asset maintenance or collateralization mechanisms;</w:t>
            </w:r>
          </w:p>
          <w:p>
            <w:pPr>
              <w:pStyle w:val="Normal"/>
              <w:numPr>
                <w:ilvl w:val="0"/>
                <w:numId w:val="6"/>
              </w:numPr>
              <w:tabs>
                <w:tab w:val="clear" w:pos="720"/>
                <w:tab w:val="left" w:pos="425" w:leader="none"/>
              </w:tabs>
              <w:ind w:hanging="425" w:start="425" w:end="0"/>
              <w:rPr>
                <w:sz w:val="18"/>
              </w:rPr>
            </w:pPr>
            <w:r>
              <w:rPr>
                <w:sz w:val="18"/>
              </w:rPr>
              <w:t>the unit contingent, non-firm, interruptible nature of the PPAs, but with a continuing obligation to pay fixed costs;</w:t>
            </w:r>
          </w:p>
          <w:p>
            <w:pPr>
              <w:pStyle w:val="Normal"/>
              <w:numPr>
                <w:ilvl w:val="0"/>
                <w:numId w:val="6"/>
              </w:numPr>
              <w:tabs>
                <w:tab w:val="clear" w:pos="720"/>
                <w:tab w:val="left" w:pos="425" w:leader="none"/>
              </w:tabs>
              <w:ind w:hanging="425" w:start="425" w:end="0"/>
              <w:rPr>
                <w:sz w:val="18"/>
              </w:rPr>
            </w:pPr>
            <w:r>
              <w:rPr>
                <w:sz w:val="18"/>
              </w:rPr>
              <w:t>complicated termination events and rights which can result in loss of all or a portion of the upfront payment and marked-to-market positions, and exposure to liquidated damages claims;</w:t>
            </w:r>
          </w:p>
          <w:p>
            <w:pPr>
              <w:pStyle w:val="Normal"/>
              <w:numPr>
                <w:ilvl w:val="0"/>
                <w:numId w:val="6"/>
              </w:numPr>
              <w:tabs>
                <w:tab w:val="clear" w:pos="720"/>
                <w:tab w:val="left" w:pos="425" w:leader="none"/>
              </w:tabs>
              <w:ind w:hanging="425" w:start="425" w:end="0"/>
              <w:rPr>
                <w:sz w:val="18"/>
              </w:rPr>
            </w:pPr>
            <w:r>
              <w:rPr>
                <w:sz w:val="18"/>
              </w:rPr>
              <w:t>assumption of economic consequences of change in law affecting the operating requirements;</w:t>
            </w:r>
          </w:p>
          <w:p>
            <w:pPr>
              <w:pStyle w:val="Normal"/>
              <w:numPr>
                <w:ilvl w:val="0"/>
                <w:numId w:val="6"/>
              </w:numPr>
              <w:tabs>
                <w:tab w:val="clear" w:pos="720"/>
                <w:tab w:val="left" w:pos="425" w:leader="none"/>
              </w:tabs>
              <w:ind w:hanging="425" w:start="425" w:end="0"/>
              <w:rPr>
                <w:sz w:val="18"/>
              </w:rPr>
            </w:pPr>
            <w:r>
              <w:rPr>
                <w:sz w:val="18"/>
              </w:rPr>
              <w:t>allocation of force majeure risk and destruction risk;</w:t>
            </w:r>
          </w:p>
          <w:p>
            <w:pPr>
              <w:pStyle w:val="Normal"/>
              <w:numPr>
                <w:ilvl w:val="0"/>
                <w:numId w:val="6"/>
              </w:numPr>
              <w:tabs>
                <w:tab w:val="clear" w:pos="720"/>
                <w:tab w:val="left" w:pos="425" w:leader="none"/>
              </w:tabs>
              <w:ind w:hanging="425" w:start="425" w:end="0"/>
              <w:rPr>
                <w:sz w:val="18"/>
              </w:rPr>
            </w:pPr>
            <w:r>
              <w:rPr>
                <w:sz w:val="18"/>
              </w:rPr>
              <w:t>calculation of cover damages and replacement price differentials;</w:t>
            </w:r>
          </w:p>
          <w:p>
            <w:pPr>
              <w:pStyle w:val="Normal"/>
              <w:numPr>
                <w:ilvl w:val="0"/>
                <w:numId w:val="6"/>
              </w:numPr>
              <w:tabs>
                <w:tab w:val="clear" w:pos="720"/>
                <w:tab w:val="left" w:pos="425" w:leader="none"/>
              </w:tabs>
              <w:ind w:hanging="425" w:start="425" w:end="0"/>
              <w:rPr>
                <w:sz w:val="18"/>
              </w:rPr>
            </w:pPr>
            <w:r>
              <w:rPr>
                <w:sz w:val="18"/>
              </w:rPr>
              <w:t>assumption of variable operating costs, without operating control; and</w:t>
            </w:r>
          </w:p>
          <w:p>
            <w:pPr>
              <w:pStyle w:val="Normal"/>
              <w:numPr>
                <w:ilvl w:val="0"/>
                <w:numId w:val="6"/>
              </w:numPr>
              <w:tabs>
                <w:tab w:val="clear" w:pos="720"/>
                <w:tab w:val="left" w:pos="425" w:leader="none"/>
              </w:tabs>
              <w:ind w:hanging="425" w:start="425" w:end="0"/>
              <w:rPr>
                <w:sz w:val="18"/>
              </w:rPr>
            </w:pPr>
            <w:r>
              <w:rPr>
                <w:sz w:val="18"/>
              </w:rPr>
              <w:t>compliance with environmental and permitting requirements.</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rPr>
                <w:sz w:val="18"/>
              </w:rPr>
            </w:pPr>
            <w:r>
              <w:rPr>
                <w:sz w:val="18"/>
              </w:rPr>
              <w:t>Risk amount is difficult to quantify and would depend upon various different contingencies.  Please see DASH applicable to this project.  The Sundance "B" PPA represents the longest commodity position within ENA.</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Beeson v. Intratex</w:t>
              <w:br/>
              <w:t>(Sanders)</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Ratable take and pricing dispute in Intratex contracts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$50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2002</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Power Contract </w:t>
              <w:tab/>
              <w:t>Risk (Sager)</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Contracts for power trading are not as sophisticated as the trading market.  Potential contract risks include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0"/>
              <w:ind w:hanging="252" w:start="252" w:end="0"/>
              <w:rPr>
                <w:sz w:val="18"/>
              </w:rPr>
            </w:pPr>
            <w:r>
              <w:rPr>
                <w:sz w:val="18"/>
              </w:rPr>
              <w:t>settlement, at least 10% of MTM haircut</w:t>
            </w:r>
          </w:p>
          <w:p>
            <w:pPr>
              <w:pStyle w:val="FootnoteText"/>
              <w:numPr>
                <w:ilvl w:val="0"/>
                <w:numId w:val="5"/>
              </w:numPr>
              <w:tabs>
                <w:tab w:val="clear" w:pos="720"/>
                <w:tab w:val="left" w:pos="252" w:leader="none"/>
              </w:tabs>
              <w:ind w:hanging="252" w:start="252" w:end="0"/>
              <w:rPr>
                <w:sz w:val="18"/>
              </w:rPr>
            </w:pPr>
            <w:r>
              <w:rPr>
                <w:sz w:val="18"/>
              </w:rPr>
              <w:t>bankruptcy, greater hit to MTM because</w:t>
              <w:br/>
              <w:t>of cherry picking</w:t>
            </w:r>
          </w:p>
          <w:p>
            <w:pPr>
              <w:pStyle w:val="FootnoteText"/>
              <w:numPr>
                <w:ilvl w:val="0"/>
                <w:numId w:val="5"/>
              </w:numPr>
              <w:tabs>
                <w:tab w:val="clear" w:pos="720"/>
                <w:tab w:val="left" w:pos="252" w:leader="none"/>
              </w:tabs>
              <w:spacing w:before="0" w:after="60"/>
              <w:ind w:hanging="252" w:start="252" w:end="0"/>
              <w:rPr>
                <w:sz w:val="18"/>
              </w:rPr>
            </w:pPr>
            <w:r>
              <w:rPr>
                <w:sz w:val="18"/>
              </w:rPr>
              <w:t>loss of cover damages due to broad force majeure</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until contracts are renegotiated</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Tennaska (Sanders)</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Brazos has alleged it can walk away from the PPA for approximately $100 million.  Brazos also alleged that the PPA was improperly assigned (friend-of-Enron structure), giving Brazos the right to terminate the PPA.</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pacing w:before="60" w:after="60"/>
              <w:ind w:hanging="252" w:start="252" w:end="0"/>
              <w:rPr>
                <w:sz w:val="18"/>
              </w:rPr>
            </w:pPr>
            <w:r>
              <w:rPr>
                <w:sz w:val="18"/>
              </w:rPr>
              <w:t>MTM value $239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2002</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BPA (Yoder)</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BPA has orally stated that it will not deliver energy under long term power contract with EPMI because BPA believes deliveries are conditioned on EPMI having an obligation to serve James River/Ft. James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MTM of contract is approximately $75 million. Good legal arguments in EPMI's favor, but BPA has only lost one case in 9</w:t>
            </w:r>
            <w:r>
              <w:rPr>
                <w:sz w:val="18"/>
                <w:vertAlign w:val="superscript"/>
              </w:rPr>
              <w:t>th</w:t>
            </w:r>
            <w:r>
              <w:rPr>
                <w:sz w:val="18"/>
              </w:rPr>
              <w:t xml:space="preserve"> Circuit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Deliveries under contract start in September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NSM (Sanders)</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Alleged inadequate disclosure, by underwriters, participation in management of company ($10 million equity and $20 million debt)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pacing w:before="60" w:after="0"/>
              <w:ind w:hanging="252" w:start="252" w:end="0"/>
              <w:rPr>
                <w:sz w:val="18"/>
              </w:rPr>
            </w:pPr>
            <w:r>
              <w:rPr>
                <w:sz w:val="18"/>
              </w:rPr>
              <w:t>equity</w:t>
            </w:r>
          </w:p>
          <w:p>
            <w:pPr>
              <w:pStyle w:val="FootnoteText"/>
              <w:numPr>
                <w:ilvl w:val="0"/>
                <w:numId w:val="2"/>
              </w:numPr>
              <w:tabs>
                <w:tab w:val="clear" w:pos="720"/>
                <w:tab w:val="left" w:pos="252" w:leader="none"/>
              </w:tabs>
              <w:ind w:hanging="252" w:start="252" w:end="0"/>
              <w:rPr>
                <w:sz w:val="18"/>
              </w:rPr>
            </w:pPr>
            <w:r>
              <w:rPr>
                <w:sz w:val="18"/>
              </w:rPr>
              <w:t>haircut debt</w:t>
            </w:r>
          </w:p>
          <w:p>
            <w:pPr>
              <w:pStyle w:val="FootnoteText"/>
              <w:numPr>
                <w:ilvl w:val="0"/>
                <w:numId w:val="2"/>
              </w:numPr>
              <w:tabs>
                <w:tab w:val="clear" w:pos="720"/>
                <w:tab w:val="left" w:pos="252" w:leader="none"/>
              </w:tabs>
              <w:ind w:hanging="252" w:start="252" w:end="0"/>
              <w:rPr>
                <w:sz w:val="18"/>
              </w:rPr>
            </w:pPr>
            <w:r>
              <w:rPr>
                <w:sz w:val="18"/>
              </w:rPr>
              <w:t>underwriter exposure</w:t>
            </w:r>
          </w:p>
          <w:p>
            <w:pPr>
              <w:pStyle w:val="FootnoteText"/>
              <w:numPr>
                <w:ilvl w:val="0"/>
                <w:numId w:val="2"/>
              </w:numPr>
              <w:tabs>
                <w:tab w:val="clear" w:pos="720"/>
                <w:tab w:val="left" w:pos="252" w:leader="none"/>
              </w:tabs>
              <w:spacing w:before="0" w:after="60"/>
              <w:ind w:hanging="252" w:start="252" w:end="0"/>
              <w:rPr>
                <w:sz w:val="18"/>
              </w:rPr>
            </w:pPr>
            <w:r>
              <w:rPr>
                <w:sz w:val="18"/>
              </w:rPr>
              <w:t>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3"/>
              </w:numPr>
              <w:tabs>
                <w:tab w:val="clear" w:pos="720"/>
                <w:tab w:val="left" w:pos="342" w:leader="none"/>
              </w:tabs>
              <w:spacing w:before="60" w:after="60"/>
              <w:ind w:firstLine="72" w:start="0" w:end="0"/>
              <w:rPr>
                <w:sz w:val="18"/>
              </w:rPr>
            </w:pPr>
            <w:r>
              <w:rPr>
                <w:sz w:val="18"/>
              </w:rPr>
              <w:t>VEPCO (Sager)</w:t>
            </w:r>
          </w:p>
        </w:tc>
        <w:tc>
          <w:tcPr>
            <w:tcW w:w="68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7"/>
              </w:numPr>
              <w:tabs>
                <w:tab w:val="clear" w:pos="720"/>
                <w:tab w:val="left" w:pos="252" w:leader="none"/>
              </w:tabs>
              <w:spacing w:before="60" w:after="60"/>
              <w:ind w:hanging="252" w:start="252" w:end="0"/>
              <w:rPr>
                <w:sz w:val="18"/>
              </w:rPr>
            </w:pPr>
            <w:r>
              <w:rPr>
                <w:sz w:val="18"/>
              </w:rPr>
              <w:t>$12 million (need to discuss with Heather Kroll/Ozzie Pagen)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immediate; through 2007</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hanging="270" w:start="342" w:end="0"/>
              <w:rPr>
                <w:sz w:val="18"/>
              </w:rPr>
            </w:pPr>
            <w:r>
              <w:rPr>
                <w:sz w:val="18"/>
              </w:rPr>
              <w:t>SEC Risk (Murray)</w:t>
            </w:r>
          </w:p>
        </w:tc>
        <w:tc>
          <w:tcPr>
            <w:tcW w:w="68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Underwriting and use of non-public confidential information rules re: public equity and debt; Chinese Wall defense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7"/>
              </w:numPr>
              <w:tabs>
                <w:tab w:val="clear" w:pos="720"/>
                <w:tab w:val="left" w:pos="252" w:leader="none"/>
              </w:tabs>
              <w:spacing w:before="60" w:after="60"/>
              <w:ind w:hanging="252" w:start="252" w:end="0"/>
              <w:rPr>
                <w:sz w:val="18"/>
              </w:rPr>
            </w:pPr>
            <w:r>
              <w:rPr>
                <w:sz w:val="18"/>
              </w:rPr>
              <w:t>$10 million, 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/mnt/main-storage/datasets/enron-docs/doc/Legal_Risk_Report_March_2001.doc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/mnt/main-storage/datasets/enron-docs/doc/Legal_Risk_Report_March_2001.doc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4z0">
    <w:name w:val="WW8Num34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1z0">
    <w:name w:val="WW8Num41z0"/>
    <w:qFormat/>
    <w:rPr/>
  </w:style>
  <w:style w:type="character" w:styleId="WW8Num46z0">
    <w:name w:val="WW8Num46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4"/>
      </w:numPr>
      <w:spacing w:before="0" w:after="240"/>
      <w:jc w:val="both"/>
    </w:pPr>
    <w:rPr>
      <w:rFonts w:ascii="Arial" w:hAnsi="Arial" w:cs="Arial"/>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2001-03-19T14:32:00Z</dcterms:created>
  <dc:creator>Brenda Whitehead</dc:creator>
  <dc:description/>
  <dc:language>en-CA</dc:language>
  <cp:lastModifiedBy>tsweet</cp:lastModifiedBy>
  <cp:lastPrinted>2001-03-19T11:38:00Z</cp:lastPrinted>
  <dcterms:modified xsi:type="dcterms:W3CDTF">2001-03-19T19:13:00Z</dcterms:modified>
  <cp:revision>6</cp:revision>
  <dc:subject/>
  <dc:title>COUNTERPARTY</dc:title>
</cp:coreProperties>
</file>