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EWS LEGAL DEPARTMENT – POWER TRADING</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NORTH AMERICA LEGAL RISKS</w:t>
      </w:r>
    </w:p>
    <w:p>
      <w:pPr>
        <w:pStyle w:val="Header"/>
        <w:tabs>
          <w:tab w:val="clear" w:pos="4320"/>
          <w:tab w:val="clear" w:pos="8640"/>
          <w:tab w:val="right" w:pos="14670" w:leader="none"/>
        </w:tabs>
        <w:spacing w:before="0" w:after="60"/>
        <w:jc w:val="center"/>
        <w:rPr/>
      </w:pPr>
      <w:r>
        <w:rPr/>
        <w:t>(as of 03/31/01)</w:t>
      </w:r>
    </w:p>
    <w:tbl>
      <w:tblPr>
        <w:tblW w:w="14580" w:type="dxa"/>
        <w:jc w:val="start"/>
        <w:tblInd w:w="-72" w:type="dxa"/>
        <w:tblLayout w:type="fixed"/>
        <w:tblCellMar>
          <w:top w:w="0" w:type="dxa"/>
          <w:start w:w="108" w:type="dxa"/>
          <w:bottom w:w="0" w:type="dxa"/>
          <w:end w:w="108" w:type="dxa"/>
        </w:tblCellMar>
      </w:tblPr>
      <w:tblGrid>
        <w:gridCol w:w="1890"/>
        <w:gridCol w:w="666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72" w:end="0"/>
              <w:rPr>
                <w:sz w:val="18"/>
              </w:rPr>
            </w:pPr>
            <w:r>
              <w:rPr>
                <w:sz w:val="18"/>
              </w:rPr>
              <w:t>Legal Risk</w:t>
            </w:r>
          </w:p>
        </w:tc>
        <w:tc>
          <w:tcPr>
            <w:tcW w:w="666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4580" w:type="dxa"/>
            <w:gridSpan w:val="5"/>
            <w:tcBorders>
              <w:top w:val="single" w:sz="4" w:space="0" w:color="000000"/>
              <w:start w:val="single" w:sz="4" w:space="0" w:color="000000"/>
              <w:bottom w:val="single" w:sz="4" w:space="0" w:color="000000"/>
              <w:end w:val="single" w:sz="4" w:space="0" w:color="000000"/>
            </w:tcBorders>
          </w:tcPr>
          <w:p>
            <w:pPr>
              <w:pStyle w:val="Heading2"/>
              <w:spacing w:before="60" w:after="60"/>
              <w:ind w:hanging="0" w:start="-115" w:end="0"/>
              <w:jc w:val="center"/>
              <w:rPr>
                <w:sz w:val="18"/>
              </w:rPr>
            </w:pPr>
            <w:r>
              <w:rPr>
                <w:sz w:val="18"/>
              </w:rPr>
              <w:t>Top Legal Risks</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342" w:leader="none"/>
              </w:tabs>
              <w:spacing w:before="60" w:after="60"/>
              <w:ind w:hanging="342" w:start="342" w:end="0"/>
              <w:rPr>
                <w:sz w:val="18"/>
              </w:rPr>
            </w:pPr>
            <w:r>
              <w:rPr>
                <w:sz w:val="18"/>
              </w:rPr>
              <w:t>Trading Activities in Regional Markets, Particularly Pools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Trading activities in power vary regionally.  Very difficult to fully understand market rules/trading activities.  Liability for participating in markets potentially huge (e.g., PX). Examples include uncertainty in PX/ISO (California), NYISO, ERCOT, NEPOOL, Canadian pools.</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2"/>
              </w:numPr>
              <w:tabs>
                <w:tab w:val="clear" w:pos="720"/>
                <w:tab w:val="left" w:pos="252" w:leader="none"/>
              </w:tabs>
              <w:spacing w:before="60" w:after="60"/>
              <w:ind w:hanging="270" w:start="252" w:end="0"/>
              <w:rPr>
                <w:sz w:val="18"/>
              </w:rPr>
            </w:pPr>
            <w:r>
              <w:rPr>
                <w:sz w:val="18"/>
              </w:rPr>
              <w:t>Risk not quantified</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342" w:leader="none"/>
              </w:tabs>
              <w:spacing w:before="60" w:after="60"/>
              <w:ind w:hanging="342" w:start="342" w:end="0"/>
              <w:rPr>
                <w:sz w:val="18"/>
              </w:rPr>
            </w:pPr>
            <w:r>
              <w:rPr>
                <w:sz w:val="18"/>
              </w:rPr>
              <w:t>Western Market Activities During 2001 Summer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Anticipated shortages of power in Western States may stress all existing contracts.</w:t>
            </w:r>
          </w:p>
          <w:p>
            <w:pPr>
              <w:pStyle w:val="FootnoteText"/>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Risk not quantified</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342" w:leader="none"/>
              </w:tabs>
              <w:spacing w:before="60" w:after="60"/>
              <w:ind w:hanging="342" w:start="342" w:end="0"/>
              <w:rPr>
                <w:sz w:val="18"/>
              </w:rPr>
            </w:pPr>
            <w:r>
              <w:rPr>
                <w:sz w:val="18"/>
              </w:rPr>
              <w:t>Legal Resources/ Training</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Inability to maintain/hire sufficient resources; difficult, time consuming process to train lawyers on trading/power.</w:t>
            </w:r>
          </w:p>
          <w:p>
            <w:pPr>
              <w:pStyle w:val="Normal"/>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Risk not quantified</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342" w:leader="none"/>
              </w:tabs>
              <w:spacing w:before="60" w:after="60"/>
              <w:ind w:hanging="342" w:start="342" w:end="0"/>
              <w:rPr>
                <w:sz w:val="18"/>
              </w:rPr>
            </w:pPr>
            <w:r>
              <w:rPr>
                <w:sz w:val="18"/>
              </w:rPr>
              <w:t>Power Forms</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Trading contracts in the power industry are very weak.  Typical problems include trading under multiple masters, no liquidated damages for non-delivery, no events of default or calculation of termination damages and broad performance outs.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Risk not quantified</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lang w:val="en-CA" w:eastAsia="en-CA"/>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342" w:leader="none"/>
              </w:tabs>
              <w:spacing w:before="60" w:after="60"/>
              <w:ind w:hanging="342" w:start="342" w:end="0"/>
              <w:rPr>
                <w:sz w:val="18"/>
              </w:rPr>
            </w:pPr>
            <w:r>
              <w:rPr>
                <w:sz w:val="18"/>
              </w:rPr>
              <w:t>Agency</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Several of our major trading partners operate through an agent acting on behalf of several operating companies.  This creates uncertainty as to which entity is liable for which trades.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Risk not quantified</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lang w:val="en-CA" w:eastAsia="en-CA"/>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342" w:leader="none"/>
              </w:tabs>
              <w:spacing w:before="60" w:after="60"/>
              <w:ind w:hanging="342" w:start="342" w:end="0"/>
              <w:rPr>
                <w:sz w:val="18"/>
              </w:rPr>
            </w:pPr>
            <w:r>
              <w:rPr>
                <w:sz w:val="18"/>
              </w:rPr>
              <w:t>Municipalities</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Difficult authorization issues associated with municipalities.</w:t>
            </w:r>
          </w:p>
          <w:p>
            <w:pPr>
              <w:pStyle w:val="Normal"/>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Risk not quantified</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lang w:val="en-CA" w:eastAsia="en-CA"/>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342" w:leader="none"/>
              </w:tabs>
              <w:spacing w:before="60" w:after="60"/>
              <w:ind w:hanging="342" w:start="342" w:end="0"/>
              <w:rPr>
                <w:sz w:val="18"/>
              </w:rPr>
            </w:pPr>
            <w:r>
              <w:rPr>
                <w:sz w:val="18"/>
              </w:rPr>
              <w:t>Complexity and Timing of Power Transactions</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Power transactions can be very complex as a result, in part, of difficult delivery mechanics and volatile pricing.  Power transactions typically must be completed on a very tight time schedule.</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Risk not quantified</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lang w:val="en-CA" w:eastAsia="en-CA"/>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2"/>
              </w:numPr>
              <w:tabs>
                <w:tab w:val="clear" w:pos="720"/>
                <w:tab w:val="left" w:pos="342" w:leader="none"/>
              </w:tabs>
              <w:spacing w:before="60" w:after="60"/>
              <w:ind w:hanging="342" w:start="342" w:end="0"/>
              <w:rPr>
                <w:sz w:val="18"/>
              </w:rPr>
            </w:pPr>
            <w:r>
              <w:rPr>
                <w:sz w:val="18"/>
              </w:rPr>
              <w:t>BPA</w:t>
            </w:r>
          </w:p>
        </w:tc>
        <w:tc>
          <w:tcPr>
            <w:tcW w:w="666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60" w:after="60"/>
              <w:rPr>
                <w:sz w:val="18"/>
              </w:rPr>
            </w:pPr>
            <w:r>
              <w:rPr>
                <w:sz w:val="18"/>
              </w:rPr>
              <w:t>BPA has orally stated that it will not deliver energy under long term power contract with EPMI because BPA believes deliveries are conditioned on EPMI having an obligation to serve James River/Ft. James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5"/>
              </w:numPr>
              <w:tabs>
                <w:tab w:val="clear" w:pos="720"/>
                <w:tab w:val="left" w:pos="252" w:leader="none"/>
              </w:tabs>
              <w:spacing w:before="60" w:after="60"/>
              <w:ind w:hanging="252" w:start="252" w:end="0"/>
              <w:rPr>
                <w:sz w:val="18"/>
              </w:rPr>
            </w:pPr>
            <w:r>
              <w:rPr>
                <w:sz w:val="18"/>
              </w:rPr>
              <w:t>MTM of contract is approximately $75 million. Good legal arguments in EPMI's favor, but BPA has only lost one case in 9</w:t>
            </w:r>
            <w:r>
              <w:rPr>
                <w:sz w:val="18"/>
                <w:vertAlign w:val="superscript"/>
              </w:rPr>
              <w:t>th</w:t>
            </w:r>
            <w:r>
              <w:rPr>
                <w:sz w:val="18"/>
              </w:rPr>
              <w:t xml:space="preserve"> Circuit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Deliveries under contract start in September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jc w:val="center"/>
              <w:rPr>
                <w:lang w:val="en-CA" w:eastAsia="en-CA"/>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342" w:leader="none"/>
              </w:tabs>
              <w:spacing w:before="60" w:after="60"/>
              <w:ind w:hanging="342" w:start="342" w:end="0"/>
              <w:rPr>
                <w:sz w:val="18"/>
              </w:rPr>
            </w:pPr>
            <w:r>
              <w:rPr>
                <w:sz w:val="18"/>
              </w:rPr>
              <w:t>VEPCO</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EPMI is required to make up to 10 offers a day if requested; offers to be at comparable sales price; annual audit to verify comparability with monetary true up; cap of $90 MWh if no comparable sale; $750,000 penalty for not providing offers; termination rights for not making offers – EPMI has annual exposure to audit. VEPCO has requested but not yet made audit for 1997, 1998, 1999. EPMI owes (but has not paid) $2.2 million for prior years. If auditors disagree with EPMI's calculations, liability could be higher.</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$12 million (need to discuss with Heather Kroll/Ozzie Pagen)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 through 2007</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lang w:val="en-CA" w:eastAsia="en-CA"/>
              </w:rPr>
            </w:pPr>
            <w:r>
              <w:rPr>
                <w:rFonts w:eastAsia="Wingdings" w:cs="Wingdings" w:ascii="Wingdings" w:hAnsi="Wingdings"/>
                <w:sz w:val="18"/>
              </w:rPr>
              <w:sym w:font="Wingdings" w:char="f0ea"/>
            </w:r>
          </w:p>
        </w:tc>
      </w:tr>
      <w:tr>
        <w:trPr/>
        <w:tc>
          <w:tcPr>
            <w:tcW w:w="14580" w:type="dxa"/>
            <w:gridSpan w:val="5"/>
            <w:tcBorders>
              <w:top w:val="single" w:sz="4" w:space="0" w:color="000000"/>
              <w:start w:val="single" w:sz="4" w:space="0" w:color="000000"/>
              <w:bottom w:val="single" w:sz="4" w:space="0" w:color="000000"/>
              <w:end w:val="single" w:sz="4" w:space="0" w:color="000000"/>
            </w:tcBorders>
          </w:tcPr>
          <w:p>
            <w:pPr>
              <w:pStyle w:val="FootnoteText"/>
              <w:keepNext w:val="true"/>
              <w:spacing w:before="60" w:after="60"/>
              <w:jc w:val="center"/>
              <w:rPr>
                <w:b/>
                <w:bCs/>
                <w:smallCaps/>
                <w:lang w:val="en-CA" w:eastAsia="en-CA"/>
              </w:rPr>
            </w:pPr>
            <w:r>
              <w:rPr>
                <w:b/>
                <w:bCs/>
                <w:smallCaps/>
                <w:lang w:val="en-CA" w:eastAsia="en-CA"/>
              </w:rPr>
              <w:t>Documentation Projects</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numPr>
                <w:ilvl w:val="0"/>
                <w:numId w:val="6"/>
              </w:numPr>
              <w:tabs>
                <w:tab w:val="clear" w:pos="720"/>
                <w:tab w:val="left" w:pos="342" w:leader="none"/>
              </w:tabs>
              <w:spacing w:before="60" w:after="60"/>
              <w:ind w:hanging="360" w:start="342" w:end="0"/>
              <w:rPr>
                <w:sz w:val="18"/>
              </w:rPr>
            </w:pPr>
            <w:r>
              <w:rPr>
                <w:sz w:val="18"/>
              </w:rPr>
              <w:t>EEI</w:t>
            </w:r>
          </w:p>
        </w:tc>
        <w:tc>
          <w:tcPr>
            <w:tcW w:w="6660" w:type="dxa"/>
            <w:tcBorders>
              <w:top w:val="single" w:sz="4" w:space="0" w:color="000000"/>
              <w:start w:val="single" w:sz="4" w:space="0" w:color="000000"/>
              <w:bottom w:val="single" w:sz="4" w:space="0" w:color="000000"/>
              <w:end w:val="single" w:sz="4" w:space="0" w:color="000000"/>
            </w:tcBorders>
          </w:tcPr>
          <w:p>
            <w:pPr>
              <w:pStyle w:val="Normal"/>
              <w:keepNext w:val="true"/>
              <w:spacing w:before="60" w:after="60"/>
              <w:rPr>
                <w:sz w:val="18"/>
              </w:rPr>
            </w:pPr>
            <w:r>
              <w:rPr>
                <w:sz w:val="18"/>
              </w:rPr>
              <w:t>Continue to make EEI the trading contract for power/lessen reliance on WSPP.  Incorporate EEI product definitions into Confirms.</w:t>
            </w:r>
          </w:p>
          <w:p>
            <w:pPr>
              <w:pStyle w:val="Normal"/>
              <w:keepNext w:val="true"/>
              <w:spacing w:before="60" w:after="60"/>
              <w:rPr>
                <w:sz w:val="18"/>
              </w:rPr>
            </w:pPr>
            <w:r>
              <w:rPr>
                <w:sz w:val="18"/>
              </w:rPr>
            </w:r>
          </w:p>
          <w:p>
            <w:pPr>
              <w:pStyle w:val="Normal"/>
              <w:keepNext w:val="tru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numPr>
                <w:ilvl w:val="0"/>
                <w:numId w:val="5"/>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snapToGrid w:val="false"/>
              <w:spacing w:before="60" w:after="60"/>
              <w:jc w:val="center"/>
              <w:rPr>
                <w:sz w:val="18"/>
                <w:lang w:val="en-CA" w:eastAsia="en-CA"/>
              </w:rPr>
            </w:pPr>
            <w:r>
              <w:rPr>
                <w:sz w:val="18"/>
                <w:lang w:val="en-CA" w:eastAsia="en-CA"/>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6"/>
              </w:numPr>
              <w:tabs>
                <w:tab w:val="clear" w:pos="720"/>
                <w:tab w:val="left" w:pos="342" w:leader="none"/>
              </w:tabs>
              <w:spacing w:before="60" w:after="60"/>
              <w:ind w:hanging="360" w:start="342" w:end="0"/>
              <w:rPr>
                <w:sz w:val="18"/>
              </w:rPr>
            </w:pPr>
            <w:r>
              <w:rPr>
                <w:sz w:val="18"/>
              </w:rPr>
              <w:t>Incorporate EEI EOL</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Adopt EEI as default EOL contract; encourage use of EOL on other e-platforms.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lang w:val="en-CA" w:eastAsia="en-CA"/>
              </w:rPr>
            </w:pPr>
            <w:r>
              <w:rPr>
                <w:sz w:val="18"/>
                <w:lang w:val="en-CA" w:eastAsia="en-CA"/>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6"/>
              </w:numPr>
              <w:tabs>
                <w:tab w:val="clear" w:pos="720"/>
                <w:tab w:val="left" w:pos="342" w:leader="none"/>
              </w:tabs>
              <w:spacing w:before="60" w:after="60"/>
              <w:ind w:hanging="360" w:start="342" w:end="0"/>
              <w:rPr>
                <w:sz w:val="18"/>
              </w:rPr>
            </w:pPr>
            <w:r>
              <w:rPr>
                <w:sz w:val="18"/>
              </w:rPr>
              <w:t>One-off Power Form</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Creation of contract to be used for individual transactions that are not part of a master.</w:t>
            </w:r>
          </w:p>
          <w:p>
            <w:pPr>
              <w:pStyle w:val="Normal"/>
              <w:spacing w:before="60" w:after="60"/>
              <w:rPr>
                <w:sz w:val="18"/>
              </w:rPr>
            </w:pPr>
            <w:r>
              <w:rPr>
                <w:sz w:val="18"/>
              </w:rPr>
            </w:r>
          </w:p>
          <w:p>
            <w:pPr>
              <w:pStyle w:val="Normal"/>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lang w:val="en-CA" w:eastAsia="en-CA"/>
              </w:rPr>
            </w:pPr>
            <w:r>
              <w:rPr>
                <w:sz w:val="18"/>
                <w:lang w:val="en-CA" w:eastAsia="en-CA"/>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6"/>
              </w:numPr>
              <w:tabs>
                <w:tab w:val="clear" w:pos="720"/>
                <w:tab w:val="left" w:pos="342" w:leader="none"/>
              </w:tabs>
              <w:spacing w:before="60" w:after="60"/>
              <w:ind w:hanging="360" w:start="342" w:end="0"/>
              <w:rPr>
                <w:sz w:val="18"/>
              </w:rPr>
            </w:pPr>
            <w:r>
              <w:rPr>
                <w:sz w:val="18"/>
              </w:rPr>
              <w:t>Product Definitions</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Continue work on creating/building acceptance for power product definitions.</w:t>
            </w:r>
          </w:p>
          <w:p>
            <w:pPr>
              <w:pStyle w:val="Normal"/>
              <w:spacing w:before="60" w:after="60"/>
              <w:rPr>
                <w:sz w:val="18"/>
              </w:rPr>
            </w:pPr>
            <w:r>
              <w:rPr>
                <w:sz w:val="18"/>
              </w:rPr>
            </w:r>
          </w:p>
          <w:p>
            <w:pPr>
              <w:pStyle w:val="Normal"/>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lang w:val="en-CA" w:eastAsia="en-CA"/>
              </w:rPr>
            </w:pPr>
            <w:r>
              <w:rPr>
                <w:sz w:val="18"/>
                <w:lang w:val="en-CA" w:eastAsia="en-CA"/>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6"/>
              </w:numPr>
              <w:tabs>
                <w:tab w:val="clear" w:pos="720"/>
                <w:tab w:val="left" w:pos="342" w:leader="none"/>
              </w:tabs>
              <w:spacing w:before="60" w:after="60"/>
              <w:ind w:hanging="360" w:start="342" w:end="0"/>
              <w:rPr>
                <w:sz w:val="18"/>
              </w:rPr>
            </w:pPr>
            <w:r>
              <w:rPr>
                <w:sz w:val="18"/>
              </w:rPr>
              <w:t>Master Netting Agreement</w:t>
            </w:r>
          </w:p>
        </w:tc>
        <w:tc>
          <w:tcPr>
            <w:tcW w:w="666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18"/>
              </w:rPr>
            </w:pPr>
            <w:r>
              <w:rPr>
                <w:sz w:val="18"/>
              </w:rPr>
              <w:t>Continue development of MNA.</w:t>
            </w:r>
          </w:p>
          <w:p>
            <w:pPr>
              <w:pStyle w:val="Normal"/>
              <w:spacing w:before="60" w:after="60"/>
              <w:rPr>
                <w:sz w:val="18"/>
              </w:rPr>
            </w:pPr>
            <w:r>
              <w:rPr>
                <w:sz w:val="18"/>
              </w:rPr>
            </w:r>
          </w:p>
          <w:p>
            <w:pPr>
              <w:pStyle w:val="Normal"/>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lang w:val="en-CA" w:eastAsia="en-CA"/>
              </w:rPr>
            </w:pPr>
            <w:r>
              <w:rPr>
                <w:sz w:val="18"/>
                <w:lang w:val="en-CA" w:eastAsia="en-CA"/>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6"/>
              </w:numPr>
              <w:tabs>
                <w:tab w:val="clear" w:pos="720"/>
                <w:tab w:val="left" w:pos="342" w:leader="none"/>
              </w:tabs>
              <w:spacing w:before="60" w:after="60"/>
              <w:ind w:hanging="360" w:start="342" w:end="0"/>
              <w:rPr>
                <w:sz w:val="18"/>
              </w:rPr>
            </w:pPr>
            <w:r>
              <w:rPr>
                <w:sz w:val="18"/>
              </w:rPr>
              <w:t>Single Master Contract for all Physical Commodities/ Financial trading</w:t>
            </w:r>
          </w:p>
        </w:tc>
        <w:tc>
          <w:tcPr>
            <w:tcW w:w="6660"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60" w:after="60"/>
              <w:rPr>
                <w:sz w:val="18"/>
              </w:rPr>
            </w:pPr>
            <w:r>
              <w:rPr>
                <w:sz w:val="18"/>
              </w:rPr>
              <w:t>Work with ISDA to develop single contract for physical trading and then roll that into a single contract for physical and financial trading.</w:t>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5"/>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keepLines/>
              <w:snapToGrid w:val="false"/>
              <w:spacing w:before="60" w:after="60"/>
              <w:jc w:val="center"/>
              <w:rPr>
                <w:sz w:val="18"/>
                <w:lang w:val="en-CA" w:eastAsia="en-CA"/>
              </w:rPr>
            </w:pPr>
            <w:r>
              <w:rPr>
                <w:sz w:val="18"/>
                <w:lang w:val="en-CA" w:eastAsia="en-CA"/>
              </w:rPr>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/mnt/main-storage/datasets/enron-docs/doc/Legal_Risk_Report-7bfaf6b076441b9580221b3fad27edac70578316c1bcd014c56cba75fffd0e5d.doc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/mnt/main-storage/datasets/enron-docs/doc/Legal_Risk_Report-7bfaf6b076441b9580221b3fad27edac70578316c1bcd014c56cba75fffd0e5d.doc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This document was prepared by ENA Legal for the purpose of facilitating the rendition of professional legal services.</w:t>
      </w:r>
    </w:p>
    <w:p>
      <w:pPr>
        <w:pStyle w:val="FootnoteText"/>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03/31/01)</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Letter"/>
      <w:lvlText w:val="(%1)"/>
      <w:lvlJc w:val="start"/>
      <w:pPr>
        <w:tabs>
          <w:tab w:val="num" w:pos="2880"/>
        </w:tabs>
        <w:ind w:start="2880" w:hanging="720"/>
      </w:pPr>
      <w:rPr>
        <w:sz w:val="22"/>
        <w:rFonts w:ascii="Arial" w:hAnsi="Arial" w:cs="Arial"/>
      </w:r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1"/>
      <w:numFmt w:val="decimal"/>
      <w:lvlText w:val="%1."/>
      <w:lvlJc w:val="start"/>
      <w:pPr>
        <w:tabs>
          <w:tab w:val="num" w:pos="234"/>
        </w:tabs>
        <w:ind w:start="234" w:hanging="36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29z1">
    <w:name w:val="WW8Num29z1"/>
    <w:qFormat/>
    <w:rPr>
      <w:rFonts w:ascii="Symbol" w:hAnsi="Symbol" w:cs="Symbol"/>
    </w:rPr>
  </w:style>
  <w:style w:type="character" w:styleId="WW8Num30z0">
    <w:name w:val="WW8Num30z0"/>
    <w:qFormat/>
    <w:rPr>
      <w:rFonts w:ascii="Arial" w:hAnsi="Arial" w:cs="Arial"/>
      <w:sz w:val="22"/>
    </w:rPr>
  </w:style>
  <w:style w:type="character" w:styleId="WW8Num35z0">
    <w:name w:val="WW8Num35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2z0">
    <w:name w:val="WW8Num42z0"/>
    <w:qFormat/>
    <w:rPr/>
  </w:style>
  <w:style w:type="character" w:styleId="WW8Num47z0">
    <w:name w:val="WW8Num47z0"/>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6z0">
    <w:name w:val="WW8Num66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Sharon4">
    <w:name w:val="Sharon4"/>
    <w:basedOn w:val="Normal"/>
    <w:qFormat/>
    <w:pPr>
      <w:numPr>
        <w:ilvl w:val="0"/>
        <w:numId w:val="3"/>
      </w:numPr>
      <w:spacing w:before="0" w:after="24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2001-03-15T13:32:00Z</dcterms:created>
  <dc:creator>Brenda Whitehead</dc:creator>
  <dc:description/>
  <dc:language>en-CA</dc:language>
  <cp:lastModifiedBy>bwhiteh</cp:lastModifiedBy>
  <cp:lastPrinted>2001-03-15T14:19:00Z</cp:lastPrinted>
  <dcterms:modified xsi:type="dcterms:W3CDTF">2001-03-15T17:49:00Z</dcterms:modified>
  <cp:revision>6</cp:revision>
  <dc:subject/>
  <dc:title>COUNTERPARTY</dc:title>
</cp:coreProperties>
</file>