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4320" w:leader="none"/>
          <w:tab w:val="right" w:pos="8640" w:leader="none"/>
          <w:tab w:val="right" w:pos="14670" w:leader="none"/>
        </w:tabs>
        <w:jc w:val="center"/>
        <w:rPr>
          <w:b/>
          <w:smallCaps/>
          <w:sz w:val="16"/>
        </w:rPr>
      </w:pPr>
      <w:r>
        <w:rPr>
          <w:b/>
          <w:smallCaps/>
          <w:sz w:val="16"/>
        </w:rPr>
        <w:t>Attorney Work Product – Prepared in Anticipation of Litigation</w:t>
      </w:r>
      <w:r>
        <mc:AlternateContent>
          <mc:Choice Requires="wps">
            <w:drawing>
              <wp:anchor behindDoc="0" distT="0" distB="0" distL="114935" distR="114935" simplePos="0" locked="0" layoutInCell="1" allowOverlap="1" relativeHeight="2">
                <wp:simplePos x="0" y="0"/>
                <wp:positionH relativeFrom="column">
                  <wp:posOffset>7366635</wp:posOffset>
                </wp:positionH>
                <wp:positionV relativeFrom="paragraph">
                  <wp:posOffset>-102870</wp:posOffset>
                </wp:positionV>
                <wp:extent cx="1485900" cy="685800"/>
                <wp:effectExtent l="0" t="0" r="0" b="0"/>
                <wp:wrapNone/>
                <wp:docPr id="1" name="Frame1"/>
                <a:graphic xmlns:a="http://schemas.openxmlformats.org/drawingml/2006/main">
                  <a:graphicData uri="http://schemas.microsoft.com/office/word/2010/wordprocessingShape">
                    <wps:wsp>
                      <wps:cNvSpPr txBox="1"/>
                      <wps:spPr>
                        <a:xfrm>
                          <a:off x="0" y="0"/>
                          <a:ext cx="1485900" cy="685800"/>
                        </a:xfrm>
                        <a:prstGeom prst="rect"/>
                        <a:solidFill>
                          <a:srgbClr val="FFFFFF">
                            <a:alpha val="0"/>
                          </a:srgbClr>
                        </a:solidFill>
                      </wps:spPr>
                      <wps:txbx>
                        <w:txbxContent>
                          <w:p>
                            <w:pPr>
                              <w:pStyle w:val="Normal"/>
                              <w:jc w:val="center"/>
                              <w:rPr>
                                <w:b/>
                                <w:bCs/>
                                <w:smallCaps/>
                                <w:sz w:val="28"/>
                              </w:rPr>
                            </w:pPr>
                            <w:r>
                              <w:rPr>
                                <w:b/>
                                <w:bCs/>
                                <w:smallCaps/>
                                <w:sz w:val="28"/>
                              </w:rPr>
                              <w:t>Draft of</w:t>
                            </w:r>
                          </w:p>
                          <w:p>
                            <w:pPr>
                              <w:pStyle w:val="Normal"/>
                              <w:jc w:val="center"/>
                              <w:rPr>
                                <w:b/>
                                <w:bCs/>
                                <w:smallCaps/>
                                <w:sz w:val="28"/>
                              </w:rPr>
                            </w:pPr>
                            <w:r>
                              <w:rPr>
                                <w:b/>
                                <w:bCs/>
                                <w:smallCaps/>
                                <w:sz w:val="28"/>
                              </w:rPr>
                              <w:fldChar w:fldCharType="begin"/>
                            </w:r>
                            <w:r>
                              <w:rPr>
                                <w:smallCaps/>
                                <w:sz w:val="28"/>
                                <w:b/>
                                <w:bCs/>
                              </w:rPr>
                              <w:instrText xml:space="preserve"> DATE \@"M\/d\/yy" </w:instrText>
                            </w:r>
                            <w:r>
                              <w:rPr>
                                <w:smallCaps/>
                                <w:sz w:val="28"/>
                                <w:b/>
                                <w:bCs/>
                              </w:rPr>
                              <w:fldChar w:fldCharType="separate"/>
                            </w:r>
                            <w:r>
                              <w:rPr>
                                <w:smallCaps/>
                                <w:sz w:val="28"/>
                                <w:b/>
                                <w:bCs/>
                              </w:rPr>
                              <w:t>9/28/25</w:t>
                            </w:r>
                            <w:r>
                              <w:rPr>
                                <w:smallCaps/>
                                <w:sz w:val="28"/>
                                <w:b/>
                                <w:bCs/>
                              </w:rPr>
                              <w:fldChar w:fldCharType="end"/>
                            </w:r>
                          </w:p>
                        </w:txbxContent>
                      </wps:txbx>
                      <wps:bodyPr anchor="t" lIns="92075" tIns="46355" rIns="92075" bIns="46355">
                        <a:noAutofit/>
                      </wps:bodyPr>
                    </wps:wsp>
                  </a:graphicData>
                </a:graphic>
              </wp:anchor>
            </w:drawing>
          </mc:Choice>
          <mc:Fallback>
            <w:pict>
              <v:rect fillcolor="#FFFFFF" style="position:absolute;rotation:-0;width:117pt;height:54pt;mso-wrap-distance-left:9.05pt;mso-wrap-distance-right:9.05pt;mso-wrap-distance-top:0pt;mso-wrap-distance-bottom:0pt;margin-top:-8.1pt;mso-position-vertical-relative:text;margin-left:580.05pt;mso-position-horizontal-relative:text">
                <v:fill opacity="0f"/>
                <v:textbox inset="0.100694444444444in,0.0506944444444444in,0.100694444444444in,0.0506944444444444in">
                  <w:txbxContent>
                    <w:p>
                      <w:pPr>
                        <w:pStyle w:val="Normal"/>
                        <w:jc w:val="center"/>
                        <w:rPr>
                          <w:b/>
                          <w:bCs/>
                          <w:smallCaps/>
                          <w:sz w:val="28"/>
                        </w:rPr>
                      </w:pPr>
                      <w:r>
                        <w:rPr>
                          <w:b/>
                          <w:bCs/>
                          <w:smallCaps/>
                          <w:sz w:val="28"/>
                        </w:rPr>
                        <w:t>Draft of</w:t>
                      </w:r>
                    </w:p>
                    <w:p>
                      <w:pPr>
                        <w:pStyle w:val="Normal"/>
                        <w:jc w:val="center"/>
                        <w:rPr>
                          <w:b/>
                          <w:bCs/>
                          <w:smallCaps/>
                          <w:sz w:val="28"/>
                        </w:rPr>
                      </w:pPr>
                      <w:r>
                        <w:rPr>
                          <w:b/>
                          <w:bCs/>
                          <w:smallCaps/>
                          <w:sz w:val="28"/>
                        </w:rPr>
                        <w:fldChar w:fldCharType="begin"/>
                      </w:r>
                      <w:r>
                        <w:rPr>
                          <w:smallCaps/>
                          <w:sz w:val="28"/>
                          <w:b/>
                          <w:bCs/>
                        </w:rPr>
                        <w:instrText xml:space="preserve"> DATE \@"M\/d\/yy" </w:instrText>
                      </w:r>
                      <w:r>
                        <w:rPr>
                          <w:smallCaps/>
                          <w:sz w:val="28"/>
                          <w:b/>
                          <w:bCs/>
                        </w:rPr>
                        <w:fldChar w:fldCharType="separate"/>
                      </w:r>
                      <w:r>
                        <w:rPr>
                          <w:smallCaps/>
                          <w:sz w:val="28"/>
                          <w:b/>
                          <w:bCs/>
                        </w:rPr>
                        <w:t>9/28/25</w:t>
                      </w:r>
                      <w:r>
                        <w:rPr>
                          <w:smallCaps/>
                          <w:sz w:val="28"/>
                          <w:b/>
                          <w:bCs/>
                        </w:rPr>
                        <w:fldChar w:fldCharType="end"/>
                      </w:r>
                    </w:p>
                  </w:txbxContent>
                </v:textbox>
                <w10:wrap type="none"/>
              </v:rect>
            </w:pict>
          </mc:Fallback>
        </mc:AlternateContent>
      </w:r>
    </w:p>
    <w:p>
      <w:pPr>
        <w:pStyle w:val="Header"/>
        <w:tabs>
          <w:tab w:val="center" w:pos="4320" w:leader="none"/>
          <w:tab w:val="right" w:pos="8640" w:leader="none"/>
          <w:tab w:val="right" w:pos="14670" w:leader="none"/>
        </w:tabs>
        <w:jc w:val="center"/>
        <w:rPr>
          <w:b/>
          <w:smallCaps/>
          <w:sz w:val="16"/>
        </w:rPr>
      </w:pPr>
      <w:r>
        <w:rPr>
          <w:b/>
          <w:smallCaps/>
          <w:sz w:val="16"/>
        </w:rPr>
        <w:t>Confidential and privileged</w:t>
      </w:r>
    </w:p>
    <w:p>
      <w:pPr>
        <w:pStyle w:val="Header"/>
        <w:tabs>
          <w:tab w:val="center" w:pos="4320" w:leader="none"/>
          <w:tab w:val="right" w:pos="8640" w:leader="none"/>
          <w:tab w:val="right" w:pos="14670" w:leader="none"/>
        </w:tabs>
        <w:jc w:val="center"/>
        <w:rPr>
          <w:b/>
          <w:smallCaps/>
          <w:sz w:val="16"/>
        </w:rPr>
      </w:pPr>
      <w:r>
        <w:rPr>
          <w:b/>
          <w:smallCaps/>
          <w:sz w:val="16"/>
        </w:rPr>
        <w:t>do not copy</w:t>
      </w:r>
    </w:p>
    <w:p>
      <w:pPr>
        <w:pStyle w:val="Header"/>
        <w:tabs>
          <w:tab w:val="clear" w:pos="4320"/>
          <w:tab w:val="clear" w:pos="8640"/>
          <w:tab w:val="right" w:pos="14670" w:leader="none"/>
        </w:tabs>
        <w:spacing w:before="120" w:after="0"/>
        <w:jc w:val="center"/>
        <w:rPr>
          <w:b/>
          <w:smallCaps/>
          <w:sz w:val="18"/>
        </w:rPr>
      </w:pPr>
      <w:r>
        <w:rPr>
          <w:b/>
          <w:smallCaps/>
          <w:sz w:val="18"/>
        </w:rPr>
        <w:t>ENA LEGAL DEPARTMENT</w:t>
      </w:r>
    </w:p>
    <w:p>
      <w:pPr>
        <w:pStyle w:val="Header"/>
        <w:tabs>
          <w:tab w:val="clear" w:pos="4320"/>
          <w:tab w:val="clear" w:pos="8640"/>
          <w:tab w:val="right" w:pos="14670" w:leader="none"/>
        </w:tabs>
        <w:jc w:val="center"/>
        <w:rPr>
          <w:b/>
          <w:smallCaps/>
          <w:sz w:val="18"/>
        </w:rPr>
      </w:pPr>
      <w:r>
        <w:rPr>
          <w:b/>
          <w:smallCaps/>
          <w:sz w:val="18"/>
        </w:rPr>
        <w:t>Legal Risk Report</w:t>
      </w:r>
    </w:p>
    <w:p>
      <w:pPr>
        <w:pStyle w:val="Heading1"/>
        <w:tabs>
          <w:tab w:val="clear" w:pos="720"/>
          <w:tab w:val="right" w:pos="14670" w:leader="none"/>
        </w:tabs>
        <w:ind w:hanging="0" w:start="0"/>
        <w:rPr>
          <w:b w:val="false"/>
          <w:caps w:val="false"/>
          <w:smallCaps w:val="false"/>
          <w:sz w:val="20"/>
        </w:rPr>
      </w:pPr>
      <w:r>
        <w:rPr>
          <w:caps w:val="false"/>
          <w:smallCaps w:val="false"/>
          <w:sz w:val="18"/>
        </w:rPr>
        <w:t>TOP NORTH AMERICA LEGAL RISKS</w:t>
      </w:r>
    </w:p>
    <w:p>
      <w:pPr>
        <w:pStyle w:val="Header"/>
        <w:tabs>
          <w:tab w:val="clear" w:pos="4320"/>
          <w:tab w:val="clear" w:pos="8640"/>
          <w:tab w:val="right" w:pos="14670" w:leader="none"/>
        </w:tabs>
        <w:spacing w:before="0" w:after="60"/>
        <w:jc w:val="center"/>
        <w:rPr/>
      </w:pPr>
      <w:r>
        <w:rPr/>
        <w:t>(as of 8/31/00)</w:t>
      </w:r>
    </w:p>
    <w:tbl>
      <w:tblPr>
        <w:tblW w:w="14580" w:type="dxa"/>
        <w:jc w:val="start"/>
        <w:tblInd w:w="-72" w:type="dxa"/>
        <w:tblLayout w:type="fixed"/>
        <w:tblCellMar>
          <w:top w:w="0" w:type="dxa"/>
          <w:start w:w="108" w:type="dxa"/>
          <w:bottom w:w="0" w:type="dxa"/>
          <w:end w:w="108" w:type="dxa"/>
        </w:tblCellMar>
      </w:tblPr>
      <w:tblGrid>
        <w:gridCol w:w="1890"/>
        <w:gridCol w:w="6660"/>
        <w:gridCol w:w="3600"/>
        <w:gridCol w:w="1440"/>
        <w:gridCol w:w="990"/>
      </w:tblGrid>
      <w:tr>
        <w:trPr>
          <w:tblHeader w:val="true"/>
        </w:trPr>
        <w:tc>
          <w:tcPr>
            <w:tcW w:w="1890" w:type="dxa"/>
            <w:tcBorders>
              <w:top w:val="single" w:sz="4" w:space="0" w:color="000000"/>
              <w:start w:val="single" w:sz="4" w:space="0" w:color="000000"/>
              <w:bottom w:val="single" w:sz="4" w:space="0" w:color="000000"/>
              <w:end w:val="single" w:sz="4" w:space="0" w:color="000000"/>
            </w:tcBorders>
          </w:tcPr>
          <w:p>
            <w:pPr>
              <w:pStyle w:val="Heading1"/>
              <w:spacing w:before="120" w:after="0"/>
              <w:ind w:hanging="0" w:start="72" w:end="0"/>
              <w:rPr>
                <w:sz w:val="18"/>
              </w:rPr>
            </w:pPr>
            <w:r>
              <w:rPr>
                <w:sz w:val="18"/>
              </w:rPr>
              <w:t>Legal Risk</w:t>
            </w:r>
          </w:p>
        </w:tc>
        <w:tc>
          <w:tcPr>
            <w:tcW w:w="6660" w:type="dxa"/>
            <w:tcBorders>
              <w:top w:val="single" w:sz="4" w:space="0" w:color="000000"/>
              <w:start w:val="single" w:sz="4" w:space="0" w:color="000000"/>
              <w:bottom w:val="single" w:sz="4" w:space="0" w:color="000000"/>
              <w:end w:val="single" w:sz="4" w:space="0" w:color="000000"/>
            </w:tcBorders>
          </w:tcPr>
          <w:p>
            <w:pPr>
              <w:pStyle w:val="Heading1"/>
              <w:spacing w:before="120" w:after="0"/>
              <w:ind w:hanging="0" w:start="0"/>
              <w:rPr>
                <w:sz w:val="18"/>
              </w:rPr>
            </w:pPr>
            <w:r>
              <w:rPr>
                <w:sz w:val="18"/>
              </w:rPr>
              <w:t>Issues</w:t>
            </w:r>
          </w:p>
        </w:tc>
        <w:tc>
          <w:tcPr>
            <w:tcW w:w="3600" w:type="dxa"/>
            <w:tcBorders>
              <w:top w:val="single" w:sz="4" w:space="0" w:color="000000"/>
              <w:start w:val="single" w:sz="4" w:space="0" w:color="000000"/>
              <w:bottom w:val="single" w:sz="4" w:space="0" w:color="000000"/>
              <w:end w:val="single" w:sz="4" w:space="0" w:color="000000"/>
            </w:tcBorders>
          </w:tcPr>
          <w:p>
            <w:pPr>
              <w:pStyle w:val="Normal"/>
              <w:spacing w:before="120" w:after="0"/>
              <w:ind w:start="230" w:end="0"/>
              <w:jc w:val="center"/>
              <w:rPr>
                <w:sz w:val="18"/>
              </w:rPr>
            </w:pPr>
            <w:r>
              <w:rPr>
                <w:b/>
                <w:smallCaps/>
                <w:sz w:val="18"/>
              </w:rPr>
              <w:t>Risk Amount</w:t>
            </w:r>
            <w:r>
              <w:rPr>
                <w:rStyle w:val="FootnoteCharacters"/>
                <w:rStyle w:val="FootnoteReference"/>
                <w:b/>
                <w:sz w:val="18"/>
                <w:u w:val="single"/>
              </w:rPr>
              <w:footnoteReference w:id="2"/>
            </w:r>
          </w:p>
        </w:tc>
        <w:tc>
          <w:tcPr>
            <w:tcW w:w="144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Accounting/</w:t>
            </w:r>
          </w:p>
          <w:p>
            <w:pPr>
              <w:pStyle w:val="Heading2"/>
              <w:spacing w:before="0" w:after="0"/>
              <w:ind w:hanging="0" w:start="-115" w:end="0"/>
              <w:jc w:val="center"/>
              <w:rPr>
                <w:sz w:val="18"/>
              </w:rPr>
            </w:pPr>
            <w:r>
              <w:rPr>
                <w:sz w:val="18"/>
              </w:rPr>
              <w:t>Timing</w:t>
            </w:r>
          </w:p>
        </w:tc>
        <w:tc>
          <w:tcPr>
            <w:tcW w:w="99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Risk Direction</w:t>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TVA</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pPr>
            <w:r>
              <w:rPr>
                <w:sz w:val="18"/>
              </w:rPr>
              <w:t xml:space="preserve">Litigation filed addressing 3 disputes; (1) </w:t>
            </w:r>
            <w:r>
              <w:rPr>
                <w:sz w:val="18"/>
                <w:u w:val="single"/>
              </w:rPr>
              <w:t>Delivery Point</w:t>
            </w:r>
            <w:r>
              <w:rPr>
                <w:sz w:val="18"/>
              </w:rPr>
              <w:t xml:space="preserve"> – does EPMI have the right to deliver energy under the MOPA to an interface even if there is insufficient transfer capability to transmit the energy into TVA; (2) </w:t>
            </w:r>
            <w:r>
              <w:rPr>
                <w:sz w:val="18"/>
                <w:u w:val="single"/>
              </w:rPr>
              <w:t>Termination</w:t>
            </w:r>
            <w:r>
              <w:rPr>
                <w:sz w:val="18"/>
              </w:rPr>
              <w:t xml:space="preserve"> – did TVA's nonpayment of EPMI's invoices permit EPMI to terminate the MOPA; and (3) </w:t>
            </w:r>
            <w:r>
              <w:rPr>
                <w:sz w:val="18"/>
                <w:u w:val="single"/>
              </w:rPr>
              <w:t>Control Area</w:t>
            </w:r>
            <w:r>
              <w:rPr>
                <w:sz w:val="18"/>
              </w:rPr>
              <w:t xml:space="preserve"> – is EPMI entitled to damages as a result of TVA's failure to treat EPMI's control areas like other control areas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3"/>
              </w:numPr>
              <w:tabs>
                <w:tab w:val="clear" w:pos="720"/>
                <w:tab w:val="left" w:pos="252" w:leader="none"/>
              </w:tabs>
              <w:spacing w:before="60" w:after="60"/>
              <w:ind w:hanging="270" w:start="252" w:end="0"/>
              <w:rPr>
                <w:sz w:val="18"/>
              </w:rPr>
            </w:pPr>
            <w:r>
              <w:rPr>
                <w:sz w:val="18"/>
              </w:rPr>
              <w:t>TVA's cover costs for energy not delivered under the MOPA if EPMI is determined to have improperly terminated the MOPA; amount of damages highly speculative and will be determined, in part, based on TVA's actions in covering; EPMI estimated MTM of MOPA (based on "Into TVA product") at approximately $305 million as of termination and has reached as high as $400 million since termination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 trial in Oct 2001</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Beeson v. Intratex</w:t>
              <w:br/>
              <w:t>(Richard)</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Ratable take and pricing dispute in Intratex contracts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3"/>
              </w:numPr>
              <w:tabs>
                <w:tab w:val="clear" w:pos="720"/>
                <w:tab w:val="left" w:pos="252" w:leader="none"/>
              </w:tabs>
              <w:spacing w:before="60" w:after="60"/>
              <w:ind w:hanging="360" w:start="342" w:end="0"/>
              <w:rPr>
                <w:sz w:val="18"/>
              </w:rPr>
            </w:pPr>
            <w:r>
              <w:rPr>
                <w:sz w:val="18"/>
              </w:rPr>
              <w:t>$50 million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Corporate?  Trial in 2000</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 xml:space="preserve">Power Contract </w:t>
              <w:tab/>
              <w:t>Risk</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Contracts for power trading are not as sophisticated as the trading market.  Potential contract risks include no events of default and/or termination netting, oral trade authority, insufficient credit and/or broad force majeure provisions or other performance risks.  Also, there is a risk that if the contract is deemed to be in conflict with the applicable tariff, the contract may be unenforceable ("FERC risk")</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252" w:leader="none"/>
              </w:tabs>
              <w:spacing w:before="60" w:after="0"/>
              <w:ind w:hanging="252" w:start="252" w:end="0"/>
              <w:rPr>
                <w:sz w:val="18"/>
              </w:rPr>
            </w:pPr>
            <w:r>
              <w:rPr>
                <w:sz w:val="18"/>
              </w:rPr>
              <w:t>settlement, at least 10% of MTM haircut</w:t>
            </w:r>
          </w:p>
          <w:p>
            <w:pPr>
              <w:pStyle w:val="FootnoteText"/>
              <w:numPr>
                <w:ilvl w:val="0"/>
                <w:numId w:val="4"/>
              </w:numPr>
              <w:tabs>
                <w:tab w:val="clear" w:pos="720"/>
                <w:tab w:val="left" w:pos="252" w:leader="none"/>
              </w:tabs>
              <w:ind w:hanging="252" w:start="252" w:end="0"/>
              <w:rPr>
                <w:sz w:val="18"/>
              </w:rPr>
            </w:pPr>
            <w:r>
              <w:rPr>
                <w:sz w:val="18"/>
              </w:rPr>
              <w:t>bankruptcy, greater hit to MTM because</w:t>
              <w:br/>
              <w:t>of cherry picking</w:t>
            </w:r>
          </w:p>
          <w:p>
            <w:pPr>
              <w:pStyle w:val="FootnoteText"/>
              <w:numPr>
                <w:ilvl w:val="0"/>
                <w:numId w:val="4"/>
              </w:numPr>
              <w:tabs>
                <w:tab w:val="clear" w:pos="720"/>
                <w:tab w:val="left" w:pos="252" w:leader="none"/>
              </w:tabs>
              <w:spacing w:before="0" w:after="60"/>
              <w:ind w:hanging="252" w:start="252" w:end="0"/>
              <w:rPr>
                <w:sz w:val="18"/>
              </w:rPr>
            </w:pPr>
            <w:r>
              <w:rPr>
                <w:sz w:val="18"/>
              </w:rPr>
              <w:t>loss of cover damages due to broad force majeure</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until contracts are renegotiated</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Duke/Citrus (Jeff)</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252" w:leader="none"/>
              </w:tabs>
              <w:snapToGrid w:val="false"/>
              <w:spacing w:before="6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BPA</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BPA has orally stated that it will not deliver energy under long term power contract with EPMI because BPA believes deliveries are conditioned on EPMI having an obligation to serve James River/Ft. James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252" w:leader="none"/>
              </w:tabs>
              <w:spacing w:before="60" w:after="60"/>
              <w:ind w:hanging="252" w:start="252" w:end="0"/>
              <w:rPr>
                <w:sz w:val="18"/>
              </w:rPr>
            </w:pPr>
            <w:r>
              <w:rPr>
                <w:sz w:val="18"/>
              </w:rPr>
              <w:t>MTM of contract is approximately $75 million. Good legal arguments in EPMI's favor, but BPA has only lost one case in 9</w:t>
            </w:r>
            <w:r>
              <w:rPr>
                <w:sz w:val="18"/>
                <w:vertAlign w:val="superscript"/>
              </w:rPr>
              <w:t>th</w:t>
            </w:r>
            <w:r>
              <w:rPr>
                <w:sz w:val="18"/>
              </w:rPr>
              <w:t xml:space="preserve"> Circuit</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Deliveries under contract start in September 2001</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Kafus (Richard)</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Kafus' former management is joining with Kafus shareholders to bring a lawsuit against Enron.</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252" w:leader="none"/>
              </w:tabs>
              <w:spacing w:before="60" w:after="60"/>
              <w:ind w:hanging="252" w:start="252" w:end="0"/>
              <w:rPr>
                <w:sz w:val="18"/>
              </w:rPr>
            </w:pPr>
            <w:r>
              <w:rPr>
                <w:sz w:val="18"/>
              </w:rPr>
              <w:t>exposure for collapse of company unknown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NSM (Richard)</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Alleged inadequate disclosure, by underwriters, participation in management of company ($10 million equity and $20 million debt)</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2"/>
              </w:numPr>
              <w:tabs>
                <w:tab w:val="clear" w:pos="720"/>
                <w:tab w:val="left" w:pos="252" w:leader="none"/>
              </w:tabs>
              <w:spacing w:before="60" w:after="0"/>
              <w:ind w:hanging="252" w:start="252" w:end="0"/>
              <w:rPr>
                <w:sz w:val="18"/>
              </w:rPr>
            </w:pPr>
            <w:r>
              <w:rPr>
                <w:sz w:val="18"/>
              </w:rPr>
              <w:t>equity</w:t>
            </w:r>
          </w:p>
          <w:p>
            <w:pPr>
              <w:pStyle w:val="FootnoteText"/>
              <w:numPr>
                <w:ilvl w:val="0"/>
                <w:numId w:val="2"/>
              </w:numPr>
              <w:tabs>
                <w:tab w:val="clear" w:pos="720"/>
                <w:tab w:val="left" w:pos="252" w:leader="none"/>
              </w:tabs>
              <w:ind w:hanging="252" w:start="252" w:end="0"/>
              <w:rPr>
                <w:sz w:val="18"/>
              </w:rPr>
            </w:pPr>
            <w:r>
              <w:rPr>
                <w:sz w:val="18"/>
              </w:rPr>
              <w:t>haircut debt</w:t>
            </w:r>
          </w:p>
          <w:p>
            <w:pPr>
              <w:pStyle w:val="FootnoteText"/>
              <w:numPr>
                <w:ilvl w:val="0"/>
                <w:numId w:val="2"/>
              </w:numPr>
              <w:tabs>
                <w:tab w:val="clear" w:pos="720"/>
                <w:tab w:val="left" w:pos="252" w:leader="none"/>
              </w:tabs>
              <w:ind w:hanging="252" w:start="252" w:end="0"/>
              <w:rPr>
                <w:sz w:val="18"/>
              </w:rPr>
            </w:pPr>
            <w:r>
              <w:rPr>
                <w:sz w:val="18"/>
              </w:rPr>
              <w:t>underwriter exposure</w:t>
            </w:r>
          </w:p>
          <w:p>
            <w:pPr>
              <w:pStyle w:val="FootnoteText"/>
              <w:numPr>
                <w:ilvl w:val="0"/>
                <w:numId w:val="2"/>
              </w:numPr>
              <w:tabs>
                <w:tab w:val="clear" w:pos="720"/>
                <w:tab w:val="left" w:pos="252" w:leader="none"/>
              </w:tabs>
              <w:spacing w:before="0" w:after="60"/>
              <w:ind w:hanging="252" w:start="252" w:end="0"/>
              <w:rPr>
                <w:sz w:val="18"/>
              </w:rPr>
            </w:pPr>
            <w:r>
              <w:rPr>
                <w:sz w:val="18"/>
              </w:rPr>
              <w:t>reputation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keepNext w:val="true"/>
              <w:keepLines/>
              <w:numPr>
                <w:ilvl w:val="0"/>
                <w:numId w:val="3"/>
              </w:numPr>
              <w:tabs>
                <w:tab w:val="clear" w:pos="720"/>
                <w:tab w:val="left" w:pos="342" w:leader="none"/>
              </w:tabs>
              <w:spacing w:before="60" w:after="60"/>
              <w:ind w:firstLine="72" w:start="0" w:end="0"/>
              <w:rPr>
                <w:sz w:val="18"/>
              </w:rPr>
            </w:pPr>
            <w:r>
              <w:rPr>
                <w:sz w:val="18"/>
              </w:rPr>
              <w:t xml:space="preserve">VEPCO </w:t>
            </w:r>
          </w:p>
        </w:tc>
        <w:tc>
          <w:tcPr>
            <w:tcW w:w="6660" w:type="dxa"/>
            <w:tcBorders>
              <w:top w:val="single" w:sz="4" w:space="0" w:color="000000"/>
              <w:start w:val="single" w:sz="4" w:space="0" w:color="000000"/>
              <w:bottom w:val="single" w:sz="4" w:space="0" w:color="000000"/>
              <w:end w:val="single" w:sz="4" w:space="0" w:color="000000"/>
            </w:tcBorders>
          </w:tcPr>
          <w:p>
            <w:pPr>
              <w:pStyle w:val="FootnoteText"/>
              <w:keepNext w:val="true"/>
              <w:keepLines/>
              <w:spacing w:before="60" w:after="60"/>
              <w:rPr>
                <w:sz w:val="18"/>
              </w:rPr>
            </w:pPr>
            <w:r>
              <w:rPr>
                <w:sz w:val="18"/>
              </w:rPr>
              <w:t>EPMI is required to make up to 10 offers a day if requested; offers to be at comparable sales price; annual audit to verify comparability with monetary true up; cap of $90 MWh if no comparable sale; $750,000 penalty for not providing offers; termination rights for not making offers – EPMI has annual exposure to audit. VEPCO has requested but not yet made audit for 1997, 1998, 1999. EPMI owes (but has not paid) $2.2 million for prior years. If auditors disagree with EPMI's calculations, liability could be higher.</w:t>
            </w:r>
          </w:p>
        </w:tc>
        <w:tc>
          <w:tcPr>
            <w:tcW w:w="3600" w:type="dxa"/>
            <w:tcBorders>
              <w:top w:val="single" w:sz="4" w:space="0" w:color="000000"/>
              <w:start w:val="single" w:sz="4" w:space="0" w:color="000000"/>
              <w:bottom w:val="single" w:sz="4" w:space="0" w:color="000000"/>
              <w:end w:val="single" w:sz="4" w:space="0" w:color="000000"/>
            </w:tcBorders>
          </w:tcPr>
          <w:p>
            <w:pPr>
              <w:pStyle w:val="FootnoteText"/>
              <w:keepNext w:val="true"/>
              <w:keepLines/>
              <w:numPr>
                <w:ilvl w:val="0"/>
                <w:numId w:val="5"/>
              </w:numPr>
              <w:tabs>
                <w:tab w:val="clear" w:pos="720"/>
                <w:tab w:val="left" w:pos="252" w:leader="none"/>
              </w:tabs>
              <w:spacing w:before="60" w:after="60"/>
              <w:ind w:hanging="252" w:start="252" w:end="0"/>
              <w:rPr>
                <w:sz w:val="18"/>
              </w:rPr>
            </w:pPr>
            <w:r>
              <w:rPr>
                <w:sz w:val="18"/>
              </w:rPr>
              <w:t>$12 million (need to discuss with Heather Kroll/Ozzie Pagen)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Next w:val="true"/>
              <w:keepLines/>
              <w:spacing w:before="60" w:after="60"/>
              <w:rPr>
                <w:sz w:val="18"/>
              </w:rPr>
            </w:pPr>
            <w:r>
              <w:rPr>
                <w:sz w:val="18"/>
              </w:rPr>
              <w:t>immediate; through 2007</w:t>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Next w:val="true"/>
              <w:keepLines/>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Power Price Caps</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Imposition of price caps in regional power markets impacts trading opportunities and possibly EPMI's ability to move power thereby reducing profits and exposing EPMI to possible cover damages due to the inability to match supply and commitment</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0"/>
              <w:ind w:hanging="259" w:start="259" w:end="0"/>
              <w:rPr>
                <w:sz w:val="18"/>
              </w:rPr>
            </w:pPr>
            <w:r>
              <w:rPr>
                <w:sz w:val="18"/>
              </w:rPr>
              <w:t>$___ million</w:t>
            </w:r>
          </w:p>
          <w:p>
            <w:pPr>
              <w:pStyle w:val="FootnoteText"/>
              <w:numPr>
                <w:ilvl w:val="0"/>
                <w:numId w:val="5"/>
              </w:numPr>
              <w:tabs>
                <w:tab w:val="clear" w:pos="720"/>
                <w:tab w:val="left" w:pos="252" w:leader="none"/>
              </w:tabs>
              <w:ind w:hanging="259" w:start="259" w:end="0"/>
              <w:rPr>
                <w:sz w:val="18"/>
              </w:rPr>
            </w:pPr>
            <w:r>
              <w:rPr>
                <w:sz w:val="18"/>
              </w:rPr>
              <w:t>adverse publicity</w:t>
            </w:r>
          </w:p>
          <w:p>
            <w:pPr>
              <w:pStyle w:val="FootnoteText"/>
              <w:numPr>
                <w:ilvl w:val="0"/>
                <w:numId w:val="5"/>
              </w:numPr>
              <w:tabs>
                <w:tab w:val="clear" w:pos="720"/>
                <w:tab w:val="left" w:pos="252" w:leader="none"/>
              </w:tabs>
              <w:spacing w:before="0" w:after="60"/>
              <w:ind w:hanging="252" w:start="252" w:end="0"/>
              <w:rPr>
                <w:sz w:val="18"/>
              </w:rPr>
            </w:pPr>
            <w:r>
              <w:rPr>
                <w:sz w:val="18"/>
              </w:rPr>
              <w:t>timing of deregulation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Tennaska (Richard)</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Brazos has alleged that its damages for breaching its PPA with Tennaska are very limited because of Tennaska's breach of the PPA.</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value of contract is _________ (Dan Lyon's will bet)</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 xml:space="preserve">CFTC Risk </w:t>
              <w:br/>
              <w:t>(Mark Taylor)</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Regulation of OTC energy trading</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$10 million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this year</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SEC Risk (Julia)</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Underwriting and use of non-public confidential information rules re: public equity and debt; Chinese Wall defense</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$10 million, reputation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Ecogas (Richard)</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napToGrid w:val="false"/>
              <w:spacing w:before="6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bl>
    <w:p>
      <w:pPr>
        <w:pStyle w:val="Header"/>
        <w:tabs>
          <w:tab w:val="clear" w:pos="4320"/>
          <w:tab w:val="clear" w:pos="8640"/>
        </w:tabs>
        <w:rPr/>
      </w:pPr>
      <w:r>
        <w:rPr/>
      </w:r>
    </w:p>
    <w:sectPr>
      <w:headerReference w:type="default" r:id="rId2"/>
      <w:headerReference w:type="first" r:id="rId3"/>
      <w:footerReference w:type="default" r:id="rId4"/>
      <w:footerReference w:type="first" r:id="rId5"/>
      <w:footnotePr>
        <w:numFmt w:val="decimal"/>
        <w:numStart w:val="2"/>
      </w:footnotePr>
      <w:type w:val="nextPage"/>
      <w:pgSz w:orient="landscape" w:w="15840" w:h="12240"/>
      <w:pgMar w:left="720" w:right="72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/mnt/main-storage/datasets/enron-docs/doc/Legal_Risk_Report-172f9ab19e54e88a6864b184eb1a5a52c80a7f68311b3a7f1c648b4cace575e2.doc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/mnt/main-storage/datasets/enron-docs/doc/Legal_Risk_Report-172f9ab19e54e88a6864b184eb1a5a52c80a7f68311b3a7f1c648b4cace575e2.doc</w:t>
    </w:r>
    <w:r>
      <w:rPr>
        <w:sz w:val="12"/>
      </w:rPr>
      <w:fldChar w:fldCharType="end"/>
    </w:r>
    <w:r>
      <w:rPr>
        <w:sz w:val="12"/>
      </w:rPr>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sz w:val="16"/>
        </w:rPr>
      </w:pPr>
      <w:r>
        <w:rPr>
          <w:rStyle w:val="FootnoteCharacters"/>
        </w:rPr>
        <w:footnoteRef/>
      </w:r>
      <w:r>
        <w:rPr>
          <w:b/>
          <w:sz w:val="16"/>
          <w:u w:val="single"/>
          <w:vertAlign w:val="superscript"/>
        </w:rPr>
        <w:t>1</w:t>
      </w:r>
      <w:r>
        <w:rPr>
          <w:sz w:val="16"/>
          <w:vertAlign w:val="superscript"/>
        </w:rPr>
        <w:t xml:space="preserve"> </w:t>
      </w:r>
      <w:r>
        <w:rPr>
          <w:sz w:val="14"/>
        </w:rPr>
        <w:t>This document was prepared by ENA Legal for the purpose of facilitating the rendition of professional legal services.</w:t>
      </w:r>
    </w:p>
    <w:p>
      <w:pPr>
        <w:pStyle w:val="FootnoteText"/>
        <w:jc w:val="both"/>
        <w:rPr/>
      </w:pPr>
      <w:r>
        <w:rPr>
          <w:rStyle w:val="FootnoteCharacters"/>
          <w:b/>
          <w:sz w:val="16"/>
          <w:u w:val="single"/>
        </w:rPr>
        <w:t>?</w:t>
      </w:r>
      <w:r>
        <w:rPr>
          <w:sz w:val="16"/>
        </w:rPr>
        <w:t xml:space="preserve"> </w:t>
      </w:r>
      <w:r>
        <w:rPr>
          <w:sz w:val="14"/>
        </w:rPr>
        <w:t>These amounts are meant to be analogous to “value at risk” with respect to legal matters.  Work needs to be done to “model” these risks.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sz w:val="16"/>
      </w:rPr>
    </w:pPr>
    <w:r>
      <w:rPr>
        <w:b/>
        <w:smallCaps/>
        <w:sz w:val="16"/>
      </w:rPr>
      <w:t>Confidential</w:t>
    </w:r>
  </w:p>
  <w:p>
    <w:pPr>
      <w:pStyle w:val="Header"/>
      <w:jc w:val="end"/>
      <w:rPr>
        <w:b/>
        <w:smallCaps/>
        <w:sz w:val="16"/>
      </w:rPr>
    </w:pPr>
    <w:r>
      <w:rPr>
        <w:b/>
        <w:smallCaps/>
        <w:sz w:val="16"/>
      </w:rPr>
      <w:t>Attorney-Client Privilege</w:t>
    </w:r>
  </w:p>
  <w:p>
    <w:pPr>
      <w:pStyle w:val="Header"/>
      <w:jc w:val="end"/>
      <w:rPr>
        <w:b/>
        <w:smallCaps/>
        <w:sz w:val="16"/>
      </w:rPr>
    </w:pPr>
    <w:r>
      <w:rPr>
        <w:b/>
        <w:smallCaps/>
        <w:sz w:val="16"/>
      </w:rPr>
      <w:t>Not Discoverable</w:t>
    </w:r>
  </w:p>
  <w:p>
    <w:pPr>
      <w:pStyle w:val="Header"/>
      <w:jc w:val="end"/>
      <w:rPr>
        <w:b/>
        <w:smallCaps/>
        <w:sz w:val="16"/>
      </w:rPr>
    </w:pPr>
    <w:r>
      <w:rPr>
        <w:b/>
        <w:smallCaps/>
        <w:sz w:val="16"/>
      </w:rPr>
      <w:t>do not copy</w:t>
    </w:r>
  </w:p>
  <w:p>
    <w:pPr>
      <w:pStyle w:val="Header"/>
      <w:jc w:val="end"/>
      <w:rPr>
        <w:b/>
        <w:smallCaps/>
        <w:sz w:val="16"/>
      </w:rPr>
    </w:pPr>
    <w:r>
      <w:rPr>
        <w:b/>
        <w:smallCaps/>
        <w:sz w:val="16"/>
      </w:rPr>
      <w:t>(as of 08/31/00)</w:t>
      <w:tab/>
    </w:r>
  </w:p>
  <w:p>
    <w:pPr>
      <w:pStyle w:val="Header"/>
      <w:rPr>
        <w:b/>
        <w:smallCaps/>
        <w:sz w:val="16"/>
      </w:rPr>
    </w:pPr>
    <w:r>
      <w:rPr>
        <w:b/>
        <w:smallCaps/>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hyphenationZone w:val="0"/>
  <w:footnotePr>
    <w:numFmt w:val="decimal"/>
    <w:numStart w:val="2"/>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rPr>
  </w:style>
  <w:style w:type="paragraph" w:styleId="Heading2">
    <w:name w:val="heading 2"/>
    <w:basedOn w:val="Normal"/>
    <w:next w:val="Normal"/>
    <w:qFormat/>
    <w:pPr>
      <w:keepNext w:val="true"/>
      <w:numPr>
        <w:ilvl w:val="1"/>
        <w:numId w:val="1"/>
      </w:numPr>
      <w:spacing w:before="120" w:after="120"/>
      <w:outlineLvl w:val="1"/>
    </w:pPr>
    <w:rPr>
      <w:b/>
      <w:smallCaps/>
      <w:sz w:val="20"/>
    </w:rPr>
  </w:style>
  <w:style w:type="paragraph" w:styleId="Heading3">
    <w:name w:val="heading 3"/>
    <w:basedOn w:val="Normal"/>
    <w:next w:val="Normal"/>
    <w:qFormat/>
    <w:pPr>
      <w:keepNext w:val="true"/>
      <w:numPr>
        <w:ilvl w:val="2"/>
        <w:numId w:val="1"/>
      </w:numPr>
      <w:spacing w:before="360" w:after="120"/>
      <w:jc w:val="center"/>
      <w:outlineLvl w:val="2"/>
    </w:pPr>
    <w:rPr>
      <w:b/>
      <w:smallCaps/>
      <w:sz w:val="20"/>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style>
  <w:style w:type="character" w:styleId="WW8Num28z1">
    <w:name w:val="WW8Num28z1"/>
    <w:qFormat/>
    <w:rPr>
      <w:rFonts w:ascii="Symbol" w:hAnsi="Symbol" w:cs="Symbol"/>
    </w:rPr>
  </w:style>
  <w:style w:type="character" w:styleId="WW8Num32z0">
    <w:name w:val="WW8Num32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43z0">
    <w:name w:val="WW8Num43z0"/>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Bookman Old Style" w:hAnsi="Bookman Old Style" w:cs="Bookman Old Style"/>
      <w:b/>
      <w:sz w:val="20"/>
    </w:rPr>
  </w:style>
  <w:style w:type="paragraph" w:styleId="BodyText">
    <w:name w:val="Body Text"/>
    <w:basedOn w:val="Normal"/>
    <w:pPr>
      <w:jc w:val="center"/>
    </w:pPr>
    <w:rPr>
      <w:b/>
      <w:smallCap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rPr>
      <w:sz w:val="20"/>
    </w:rPr>
  </w:style>
  <w:style w:type="paragraph" w:styleId="BodyText3">
    <w:name w:val="Body Text 3"/>
    <w:basedOn w:val="Normal"/>
    <w:qFormat/>
    <w:pPr>
      <w:jc w:val="both"/>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7200" w:leader="none"/>
        <w:tab w:val="right" w:pos="144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2000-10-24T12:08:00Z</dcterms:created>
  <dc:creator>Brenda Whitehead</dc:creator>
  <dc:description/>
  <dc:language>en-CA</dc:language>
  <cp:lastModifiedBy>jelbert</cp:lastModifiedBy>
  <cp:lastPrinted>2000-09-06T09:34:00Z</cp:lastPrinted>
  <dcterms:modified xsi:type="dcterms:W3CDTF">2000-10-24T12:17:00Z</dcterms:modified>
  <cp:revision>3</cp:revision>
  <dc:subject/>
  <dc:title>COUNTERPARTY</dc:title>
</cp:coreProperties>
</file>