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jc w:val="both"/>
        <w:rPr/>
      </w:pPr>
      <w:r>
        <w:rPr/>
        <w:drawing>
          <wp:inline distT="0" distB="0" distL="0" distR="0">
            <wp:extent cx="941705" cy="9353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41705" cy="935355"/>
                    </a:xfrm>
                    <a:prstGeom prst="rect">
                      <a:avLst/>
                    </a:prstGeom>
                    <a:noFill/>
                  </pic:spPr>
                </pic:pic>
              </a:graphicData>
            </a:graphic>
          </wp:inline>
        </w:drawing>
      </w:r>
      <w:r>
        <w:rPr>
          <w:rFonts w:eastAsia="Arial" w:cs="Arial" w:ascii="Arial" w:hAnsi="Arial"/>
          <w:b/>
          <w:sz w:val="30"/>
        </w:rPr>
        <w:t xml:space="preserve"> </w:t>
      </w:r>
      <w:r>
        <w:rPr>
          <w:rFonts w:cs="Arial" w:ascii="Arial" w:hAnsi="Arial"/>
          <w:b/>
          <w:sz w:val="30"/>
        </w:rPr>
        <w:tab/>
      </w:r>
    </w:p>
    <w:p>
      <w:pPr>
        <w:pStyle w:val="Caption"/>
        <w:rPr>
          <w:sz w:val="28"/>
        </w:rPr>
      </w:pPr>
      <w:r>
        <w:rPr>
          <w:sz w:val="28"/>
        </w:rPr>
        <w:t>INTEROFFICE</w:t>
      </w:r>
    </w:p>
    <w:p>
      <w:pPr>
        <w:pStyle w:val="Heading2"/>
        <w:rPr>
          <w:sz w:val="26"/>
        </w:rPr>
      </w:pPr>
      <w:r>
        <w:rPr/>
        <w:t>MEMORANDUM</w:t>
      </w:r>
    </w:p>
    <w:p>
      <w:pPr>
        <w:pStyle w:val="Normal"/>
        <w:tabs>
          <w:tab w:val="clear" w:pos="720"/>
          <w:tab w:val="right" w:pos="8640" w:leader="none"/>
        </w:tabs>
        <w:jc w:val="both"/>
        <w:rPr>
          <w:rFonts w:ascii="Arial" w:hAnsi="Arial" w:cs="Arial"/>
          <w:sz w:val="22"/>
        </w:rPr>
      </w:pPr>
      <w:r>
        <w:rPr>
          <w:rFonts w:cs="Arial" w:ascii="Arial" w:hAnsi="Arial"/>
          <w:sz w:val="22"/>
        </w:rPr>
      </w:r>
    </w:p>
    <w:tbl>
      <w:tblPr>
        <w:tblW w:w="9648" w:type="dxa"/>
        <w:jc w:val="start"/>
        <w:tblInd w:w="0" w:type="dxa"/>
        <w:tblLayout w:type="fixed"/>
        <w:tblCellMar>
          <w:top w:w="0" w:type="dxa"/>
          <w:start w:w="108" w:type="dxa"/>
          <w:bottom w:w="0" w:type="dxa"/>
          <w:end w:w="108" w:type="dxa"/>
        </w:tblCellMar>
      </w:tblPr>
      <w:tblGrid>
        <w:gridCol w:w="1569"/>
        <w:gridCol w:w="3759"/>
        <w:gridCol w:w="1080"/>
        <w:gridCol w:w="1071"/>
        <w:gridCol w:w="1956"/>
        <w:gridCol w:w="213"/>
      </w:tblGrid>
      <w:tr>
        <w:trPr/>
        <w:tc>
          <w:tcPr>
            <w:tcW w:w="1569" w:type="dxa"/>
            <w:tcBorders/>
          </w:tcPr>
          <w:p>
            <w:pPr>
              <w:pStyle w:val="Normal"/>
              <w:rPr>
                <w:rFonts w:ascii="Arial" w:hAnsi="Arial" w:cs="Arial"/>
                <w:sz w:val="22"/>
              </w:rPr>
            </w:pPr>
            <w:r>
              <w:rPr>
                <w:rFonts w:cs="Arial" w:ascii="Arial" w:hAnsi="Arial"/>
                <w:b/>
                <w:sz w:val="22"/>
              </w:rPr>
              <w:t>TO:</w:t>
            </w:r>
          </w:p>
        </w:tc>
        <w:tc>
          <w:tcPr>
            <w:tcW w:w="3759" w:type="dxa"/>
            <w:tcBorders/>
          </w:tcPr>
          <w:p>
            <w:pPr>
              <w:pStyle w:val="Normal"/>
              <w:rPr>
                <w:rFonts w:ascii="Arial" w:hAnsi="Arial" w:cs="Arial"/>
                <w:sz w:val="22"/>
              </w:rPr>
            </w:pPr>
            <w:r>
              <w:rPr>
                <w:rFonts w:cs="Arial" w:ascii="Arial" w:hAnsi="Arial"/>
                <w:sz w:val="22"/>
              </w:rPr>
              <w:t xml:space="preserve">Mark Haedicke </w:t>
            </w:r>
          </w:p>
        </w:tc>
        <w:tc>
          <w:tcPr>
            <w:tcW w:w="2151" w:type="dxa"/>
            <w:gridSpan w:val="2"/>
            <w:tcBorders/>
          </w:tcPr>
          <w:p>
            <w:pPr>
              <w:pStyle w:val="Normal"/>
              <w:snapToGrid w:val="false"/>
              <w:rPr>
                <w:rFonts w:ascii="Arial" w:hAnsi="Arial" w:cs="Arial"/>
                <w:sz w:val="22"/>
              </w:rPr>
            </w:pPr>
            <w:r>
              <w:rPr>
                <w:rFonts w:cs="Arial" w:ascii="Arial" w:hAnsi="Arial"/>
                <w:sz w:val="22"/>
              </w:rPr>
            </w:r>
          </w:p>
        </w:tc>
        <w:tc>
          <w:tcPr>
            <w:tcW w:w="1956" w:type="dxa"/>
            <w:tcBorders/>
          </w:tcPr>
          <w:p>
            <w:pPr>
              <w:pStyle w:val="Normal"/>
              <w:snapToGrid w:val="false"/>
              <w:rPr>
                <w:rFonts w:ascii="Arial" w:hAnsi="Arial" w:cs="Arial"/>
                <w:sz w:val="22"/>
              </w:rPr>
            </w:pPr>
            <w:r>
              <w:rPr>
                <w:rFonts w:cs="Arial" w:ascii="Arial" w:hAnsi="Arial"/>
                <w:sz w:val="22"/>
              </w:rPr>
            </w:r>
          </w:p>
        </w:tc>
        <w:tc>
          <w:tcPr>
            <w:tcW w:w="213"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1569" w:type="dxa"/>
            <w:tcBorders/>
          </w:tcPr>
          <w:p>
            <w:pPr>
              <w:pStyle w:val="Normal"/>
              <w:snapToGrid w:val="false"/>
              <w:rPr>
                <w:rFonts w:ascii="Arial" w:hAnsi="Arial" w:cs="Arial"/>
                <w:sz w:val="22"/>
              </w:rPr>
            </w:pPr>
            <w:r>
              <w:rPr>
                <w:rFonts w:cs="Arial" w:ascii="Arial" w:hAnsi="Arial"/>
                <w:sz w:val="22"/>
              </w:rPr>
            </w:r>
          </w:p>
        </w:tc>
        <w:tc>
          <w:tcPr>
            <w:tcW w:w="3759" w:type="dxa"/>
            <w:tcBorders/>
          </w:tcPr>
          <w:p>
            <w:pPr>
              <w:pStyle w:val="Normal"/>
              <w:snapToGrid w:val="false"/>
              <w:rPr>
                <w:rFonts w:ascii="Arial" w:hAnsi="Arial" w:cs="Arial"/>
                <w:sz w:val="22"/>
              </w:rPr>
            </w:pPr>
            <w:r>
              <w:rPr>
                <w:rFonts w:cs="Arial" w:ascii="Arial" w:hAnsi="Arial"/>
                <w:sz w:val="22"/>
              </w:rPr>
            </w:r>
          </w:p>
        </w:tc>
        <w:tc>
          <w:tcPr>
            <w:tcW w:w="2151" w:type="dxa"/>
            <w:gridSpan w:val="2"/>
            <w:tcBorders/>
          </w:tcPr>
          <w:p>
            <w:pPr>
              <w:pStyle w:val="Normal"/>
              <w:snapToGrid w:val="false"/>
              <w:rPr>
                <w:rFonts w:ascii="Arial" w:hAnsi="Arial" w:cs="Arial"/>
                <w:sz w:val="22"/>
              </w:rPr>
            </w:pPr>
            <w:r>
              <w:rPr>
                <w:rFonts w:cs="Arial" w:ascii="Arial" w:hAnsi="Arial"/>
                <w:sz w:val="22"/>
              </w:rPr>
            </w:r>
          </w:p>
        </w:tc>
        <w:tc>
          <w:tcPr>
            <w:tcW w:w="1956" w:type="dxa"/>
            <w:tcBorders/>
          </w:tcPr>
          <w:p>
            <w:pPr>
              <w:pStyle w:val="Normal"/>
              <w:snapToGrid w:val="false"/>
              <w:rPr>
                <w:rFonts w:ascii="Arial" w:hAnsi="Arial" w:cs="Arial"/>
                <w:sz w:val="22"/>
              </w:rPr>
            </w:pPr>
            <w:r>
              <w:rPr>
                <w:rFonts w:cs="Arial" w:ascii="Arial" w:hAnsi="Arial"/>
                <w:sz w:val="22"/>
              </w:rPr>
            </w:r>
          </w:p>
        </w:tc>
        <w:tc>
          <w:tcPr>
            <w:tcW w:w="213"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1569" w:type="dxa"/>
            <w:tcBorders/>
          </w:tcPr>
          <w:p>
            <w:pPr>
              <w:pStyle w:val="Normal"/>
              <w:rPr>
                <w:rFonts w:ascii="Arial" w:hAnsi="Arial" w:cs="Arial"/>
                <w:sz w:val="22"/>
              </w:rPr>
            </w:pPr>
            <w:r>
              <w:rPr>
                <w:rFonts w:cs="Arial" w:ascii="Arial" w:hAnsi="Arial"/>
                <w:b/>
                <w:sz w:val="22"/>
              </w:rPr>
              <w:t>FROM:</w:t>
            </w:r>
          </w:p>
        </w:tc>
        <w:tc>
          <w:tcPr>
            <w:tcW w:w="3759" w:type="dxa"/>
            <w:tcBorders/>
          </w:tcPr>
          <w:p>
            <w:pPr>
              <w:pStyle w:val="Normal"/>
              <w:rPr>
                <w:rFonts w:ascii="Arial" w:hAnsi="Arial" w:cs="Arial"/>
                <w:sz w:val="22"/>
              </w:rPr>
            </w:pPr>
            <w:r>
              <w:rPr>
                <w:rFonts w:cs="Arial" w:ascii="Arial" w:hAnsi="Arial"/>
                <w:sz w:val="22"/>
              </w:rPr>
              <w:t>Brent Hendry</w:t>
            </w:r>
          </w:p>
        </w:tc>
        <w:tc>
          <w:tcPr>
            <w:tcW w:w="2151" w:type="dxa"/>
            <w:gridSpan w:val="2"/>
            <w:tcBorders/>
          </w:tcPr>
          <w:p>
            <w:pPr>
              <w:pStyle w:val="Normal"/>
              <w:rPr>
                <w:rFonts w:ascii="Arial" w:hAnsi="Arial" w:cs="Arial"/>
                <w:sz w:val="22"/>
              </w:rPr>
            </w:pPr>
            <w:r>
              <w:rPr>
                <w:rFonts w:cs="Arial" w:ascii="Arial" w:hAnsi="Arial"/>
                <w:b/>
                <w:sz w:val="22"/>
              </w:rPr>
              <w:t>DEPARTMENT:</w:t>
            </w:r>
          </w:p>
        </w:tc>
        <w:tc>
          <w:tcPr>
            <w:tcW w:w="1956" w:type="dxa"/>
            <w:tcBorders/>
          </w:tcPr>
          <w:p>
            <w:pPr>
              <w:pStyle w:val="Normal"/>
              <w:rPr>
                <w:rFonts w:ascii="Arial" w:hAnsi="Arial" w:cs="Arial"/>
                <w:sz w:val="22"/>
              </w:rPr>
            </w:pPr>
            <w:r>
              <w:rPr>
                <w:rFonts w:cs="Arial" w:ascii="Arial" w:hAnsi="Arial"/>
                <w:sz w:val="22"/>
              </w:rPr>
              <w:t>EWS Legal</w:t>
            </w:r>
          </w:p>
        </w:tc>
        <w:tc>
          <w:tcPr>
            <w:tcW w:w="213"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1569" w:type="dxa"/>
            <w:tcBorders/>
          </w:tcPr>
          <w:p>
            <w:pPr>
              <w:pStyle w:val="Normal"/>
              <w:snapToGrid w:val="false"/>
              <w:rPr>
                <w:rFonts w:ascii="Arial" w:hAnsi="Arial" w:cs="Arial"/>
                <w:b/>
                <w:sz w:val="22"/>
              </w:rPr>
            </w:pPr>
            <w:r>
              <w:rPr>
                <w:rFonts w:cs="Arial" w:ascii="Arial" w:hAnsi="Arial"/>
                <w:b/>
                <w:sz w:val="22"/>
              </w:rPr>
            </w:r>
          </w:p>
        </w:tc>
        <w:tc>
          <w:tcPr>
            <w:tcW w:w="3759" w:type="dxa"/>
            <w:tcBorders/>
          </w:tcPr>
          <w:p>
            <w:pPr>
              <w:pStyle w:val="Normal"/>
              <w:snapToGrid w:val="false"/>
              <w:rPr>
                <w:rFonts w:ascii="Arial" w:hAnsi="Arial" w:cs="Arial"/>
                <w:b/>
                <w:sz w:val="22"/>
              </w:rPr>
            </w:pPr>
            <w:r>
              <w:rPr>
                <w:rFonts w:cs="Arial" w:ascii="Arial" w:hAnsi="Arial"/>
                <w:b/>
                <w:sz w:val="22"/>
              </w:rPr>
            </w:r>
          </w:p>
        </w:tc>
        <w:tc>
          <w:tcPr>
            <w:tcW w:w="2151" w:type="dxa"/>
            <w:gridSpan w:val="2"/>
            <w:tcBorders/>
          </w:tcPr>
          <w:p>
            <w:pPr>
              <w:pStyle w:val="Normal"/>
              <w:snapToGrid w:val="false"/>
              <w:rPr>
                <w:rFonts w:ascii="Arial" w:hAnsi="Arial" w:cs="Arial"/>
                <w:b/>
                <w:sz w:val="22"/>
              </w:rPr>
            </w:pPr>
            <w:r>
              <w:rPr>
                <w:rFonts w:cs="Arial" w:ascii="Arial" w:hAnsi="Arial"/>
                <w:b/>
                <w:sz w:val="22"/>
              </w:rPr>
            </w:r>
          </w:p>
        </w:tc>
        <w:tc>
          <w:tcPr>
            <w:tcW w:w="1956" w:type="dxa"/>
            <w:tcBorders/>
          </w:tcPr>
          <w:p>
            <w:pPr>
              <w:pStyle w:val="Normal"/>
              <w:snapToGrid w:val="false"/>
              <w:rPr>
                <w:rFonts w:ascii="Arial" w:hAnsi="Arial" w:cs="Arial"/>
                <w:b/>
                <w:sz w:val="22"/>
              </w:rPr>
            </w:pPr>
            <w:r>
              <w:rPr>
                <w:rFonts w:cs="Arial" w:ascii="Arial" w:hAnsi="Arial"/>
                <w:b/>
                <w:sz w:val="22"/>
              </w:rPr>
            </w:r>
          </w:p>
        </w:tc>
        <w:tc>
          <w:tcPr>
            <w:tcW w:w="213"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1569" w:type="dxa"/>
            <w:tcBorders/>
          </w:tcPr>
          <w:p>
            <w:pPr>
              <w:pStyle w:val="Normal"/>
              <w:rPr>
                <w:rFonts w:ascii="Arial" w:hAnsi="Arial" w:cs="Arial"/>
                <w:sz w:val="22"/>
              </w:rPr>
            </w:pPr>
            <w:r>
              <w:rPr>
                <w:rFonts w:cs="Arial" w:ascii="Arial" w:hAnsi="Arial"/>
                <w:b/>
                <w:sz w:val="22"/>
              </w:rPr>
              <w:t>SUBJECT:</w:t>
            </w:r>
          </w:p>
        </w:tc>
        <w:tc>
          <w:tcPr>
            <w:tcW w:w="3759" w:type="dxa"/>
            <w:tcBorders/>
          </w:tcPr>
          <w:p>
            <w:pPr>
              <w:pStyle w:val="Normal"/>
              <w:rPr>
                <w:rFonts w:ascii="Arial" w:hAnsi="Arial" w:cs="Arial"/>
                <w:sz w:val="22"/>
              </w:rPr>
            </w:pPr>
            <w:r>
              <w:rPr>
                <w:rFonts w:cs="Arial" w:ascii="Arial" w:hAnsi="Arial"/>
                <w:sz w:val="22"/>
              </w:rPr>
              <w:t>Legal Risk Analysis for Multi-Trigger Power Option</w:t>
            </w:r>
          </w:p>
        </w:tc>
        <w:tc>
          <w:tcPr>
            <w:tcW w:w="1080" w:type="dxa"/>
            <w:tcBorders/>
          </w:tcPr>
          <w:p>
            <w:pPr>
              <w:pStyle w:val="Normal"/>
              <w:rPr>
                <w:rFonts w:ascii="Arial" w:hAnsi="Arial" w:cs="Arial"/>
                <w:sz w:val="22"/>
              </w:rPr>
            </w:pPr>
            <w:r>
              <w:rPr>
                <w:rFonts w:cs="Arial" w:ascii="Arial" w:hAnsi="Arial"/>
                <w:b/>
                <w:sz w:val="22"/>
              </w:rPr>
              <w:t>DATE:</w:t>
            </w:r>
          </w:p>
        </w:tc>
        <w:tc>
          <w:tcPr>
            <w:tcW w:w="3240" w:type="dxa"/>
            <w:gridSpan w:val="3"/>
            <w:tcBorders/>
          </w:tcPr>
          <w:p>
            <w:pPr>
              <w:pStyle w:val="Normal"/>
              <w:rPr>
                <w:rFonts w:ascii="Arial" w:hAnsi="Arial" w:cs="Arial"/>
                <w:sz w:val="22"/>
              </w:rPr>
            </w:pPr>
            <w:r>
              <w:rPr>
                <w:rFonts w:cs="Arial" w:ascii="Arial" w:hAnsi="Arial"/>
                <w:sz w:val="22"/>
              </w:rPr>
              <w:t>Draft--March 29, 2001</w:t>
            </w:r>
          </w:p>
        </w:tc>
      </w:tr>
    </w:tbl>
    <w:p>
      <w:pPr>
        <w:pStyle w:val="Normal"/>
        <w:tabs>
          <w:tab w:val="clear" w:pos="720"/>
          <w:tab w:val="left" w:pos="1344" w:leader="none"/>
          <w:tab w:val="left" w:pos="5106" w:leader="none"/>
          <w:tab w:val="left" w:pos="7254" w:leader="none"/>
        </w:tabs>
        <w:jc w:val="both"/>
        <w:rPr>
          <w:rFonts w:ascii="Arial" w:hAnsi="Arial" w:cs="Arial"/>
          <w:sz w:val="22"/>
        </w:rPr>
      </w:pPr>
      <w:r>
        <w:rPr>
          <w:rFonts w:cs="Arial" w:ascii="Arial" w:hAnsi="Arial"/>
          <w:sz w:val="22"/>
        </w:rPr>
      </w:r>
    </w:p>
    <w:p>
      <w:pPr>
        <w:pStyle w:val="Heading1"/>
        <w:ind w:hanging="0" w:start="0"/>
        <w:rPr/>
      </w:pPr>
      <w:r>
        <w:rPr/>
        <w:t>Legal Risk Rating = 1.5</w:t>
      </w:r>
    </w:p>
    <w:p>
      <w:pPr>
        <w:pStyle w:val="BodyText"/>
        <w:rPr/>
      </w:pPr>
      <w:r>
        <w:rPr/>
      </w:r>
    </w:p>
    <w:p>
      <w:pPr>
        <w:pStyle w:val="BodyText"/>
        <w:rPr/>
      </w:pPr>
      <w:r>
        <w:rPr>
          <w:b/>
          <w:bCs/>
          <w:sz w:val="20"/>
        </w:rPr>
        <w:t>I.</w:t>
      </w:r>
      <w:r>
        <w:rPr>
          <w:sz w:val="20"/>
        </w:rPr>
        <w:t xml:space="preserve">  </w:t>
      </w:r>
      <w:r>
        <w:rPr>
          <w:b/>
          <w:bCs/>
          <w:sz w:val="20"/>
          <w:u w:val="single"/>
        </w:rPr>
        <w:t>Description of Product.</w:t>
      </w:r>
      <w:r>
        <w:rPr>
          <w:sz w:val="20"/>
        </w:rPr>
        <w:t xml:space="preserve">  David Hoog of the </w:t>
      </w:r>
      <w:r>
        <w:rPr>
          <w:rFonts w:cs="Arial"/>
          <w:sz w:val="20"/>
        </w:rPr>
        <w:t>Global Risk Market Products group has developed a new derivative product to offer to power generators.  The product is a multi-trigger option that would trigger under the following conditions (i) a specified generating unit experiences a defined outage and (ii) the index price is greater than the specified strike price.  This product is designed to hedge a generator’s exposure to volatile summer power prices and there are currently very few alternatives to this product in the market.  There is a marketer that is offering a physical power option product and two insurance companies offering insurance contracts tied to power replacement cost.  David Hoog asked the legal team to draft a stand-alone confirmation and GTC and asked that we not ask for opinions of counsel from counterparties so that his product could compete with the other products on the market that do not require opinions.  To the extent that the product is sold to non-regulated counterparties this request poses no additional risks.  To the extent that we sell this product to municipal or other governmental generator counterparties (the “Regulated Counterparty”) this would be a departure from our standard due diligence requirements.</w:t>
      </w:r>
    </w:p>
    <w:p>
      <w:pPr>
        <w:pStyle w:val="BodyText"/>
        <w:ind w:start="360" w:end="0"/>
        <w:rPr>
          <w:rFonts w:eastAsia="Arial" w:cs="Arial"/>
          <w:sz w:val="20"/>
        </w:rPr>
      </w:pPr>
      <w:r>
        <w:rPr>
          <w:rFonts w:eastAsia="Arial" w:cs="Arial"/>
          <w:sz w:val="20"/>
        </w:rPr>
        <w:t xml:space="preserve">  </w:t>
      </w:r>
    </w:p>
    <w:p>
      <w:pPr>
        <w:pStyle w:val="BodyText"/>
        <w:tabs>
          <w:tab w:val="clear" w:pos="720"/>
          <w:tab w:val="left" w:pos="540" w:leader="none"/>
        </w:tabs>
        <w:rPr/>
      </w:pPr>
      <w:r>
        <w:rPr>
          <w:rFonts w:cs="Arial"/>
          <w:b/>
          <w:bCs/>
          <w:sz w:val="20"/>
        </w:rPr>
        <w:t>II.</w:t>
      </w:r>
      <w:r>
        <w:rPr>
          <w:rFonts w:cs="Arial"/>
          <w:sz w:val="20"/>
        </w:rPr>
        <w:t xml:space="preserve"> </w:t>
        <w:tab/>
      </w:r>
      <w:r>
        <w:rPr>
          <w:rFonts w:cs="Arial"/>
          <w:b/>
          <w:bCs/>
          <w:sz w:val="20"/>
          <w:u w:val="single"/>
        </w:rPr>
        <w:t>Legal Risk Description.</w:t>
      </w:r>
      <w:r>
        <w:rPr>
          <w:rFonts w:cs="Arial"/>
          <w:sz w:val="20"/>
        </w:rPr>
        <w:t xml:space="preserve">    There are two legal risks that were analyzed as this product was being developed.  </w:t>
      </w:r>
    </w:p>
    <w:p>
      <w:pPr>
        <w:pStyle w:val="BodyText"/>
        <w:rPr>
          <w:rFonts w:cs="Arial"/>
          <w:sz w:val="20"/>
        </w:rPr>
      </w:pPr>
      <w:r>
        <w:rPr>
          <w:rFonts w:cs="Arial"/>
          <w:sz w:val="20"/>
        </w:rPr>
      </w:r>
    </w:p>
    <w:p>
      <w:pPr>
        <w:pStyle w:val="BodyText"/>
        <w:rPr>
          <w:rFonts w:cs="Arial"/>
          <w:sz w:val="20"/>
        </w:rPr>
      </w:pPr>
      <w:r>
        <w:rPr>
          <w:rFonts w:cs="Arial"/>
          <w:sz w:val="20"/>
        </w:rPr>
        <w:t xml:space="preserve">A.  The first risk analyzed was to determine how likely it would be that the commercial team could end up writing potentially “free” options if sold to a Regulated Counterparty where we did not require an opinion of counsel.  There is some risk that a generator who is a Regulated Counterparty could wait until the end of the term of the transaction (if there is no trigger that causes a payout on the option) to claim that they were never authorized to enter into the transaction and attempt to demand their premium back. </w:t>
      </w:r>
    </w:p>
    <w:p>
      <w:pPr>
        <w:pStyle w:val="BodyText"/>
        <w:rPr>
          <w:rFonts w:cs="Arial"/>
          <w:sz w:val="20"/>
        </w:rPr>
      </w:pPr>
      <w:r>
        <w:rPr>
          <w:rFonts w:cs="Arial"/>
          <w:sz w:val="20"/>
        </w:rPr>
      </w:r>
    </w:p>
    <w:p>
      <w:pPr>
        <w:pStyle w:val="BodyText"/>
        <w:rPr>
          <w:rFonts w:cs="Arial"/>
          <w:sz w:val="20"/>
        </w:rPr>
      </w:pPr>
      <w:r>
        <w:rPr>
          <w:rFonts w:cs="Arial"/>
          <w:sz w:val="20"/>
        </w:rPr>
        <w:t>B.  The second legal risk analyzed was whether the option by virtue of its structure creates a product that could be considered to be an insurance product.  If this is deemed to be an insurance product by a state insurance department then Enron may be given a cease and desist order and possibly fined.  Certain characteristics of the product required us to take a closer look at the transaction to determine if it could be considered an insurance product.  This product differs from a typical financially settled option, which is not insurance, in that there is a triggering event tied to an outage of the generator’s power unit, and a payout calculation that is tied to the number of megawatts the unit does not generate and could be related to the price of power purchased and sold in the generators area.</w:t>
      </w:r>
    </w:p>
    <w:p>
      <w:pPr>
        <w:pStyle w:val="BodyText"/>
        <w:rPr>
          <w:rFonts w:cs="Arial"/>
          <w:sz w:val="20"/>
        </w:rPr>
      </w:pPr>
      <w:r>
        <w:rPr>
          <w:rFonts w:cs="Arial"/>
          <w:sz w:val="20"/>
        </w:rPr>
      </w:r>
    </w:p>
    <w:p>
      <w:pPr>
        <w:pStyle w:val="BodyText"/>
        <w:rPr>
          <w:rFonts w:cs="Arial"/>
          <w:sz w:val="20"/>
        </w:rPr>
      </w:pPr>
      <w:r>
        <w:rPr>
          <w:rFonts w:cs="Arial"/>
          <w:sz w:val="20"/>
        </w:rPr>
      </w:r>
    </w:p>
    <w:p>
      <w:pPr>
        <w:pStyle w:val="BodyText"/>
        <w:rPr>
          <w:rFonts w:cs="Arial"/>
          <w:sz w:val="20"/>
        </w:rPr>
      </w:pPr>
      <w:r>
        <w:rPr>
          <w:rFonts w:cs="Arial"/>
          <w:sz w:val="20"/>
        </w:rPr>
      </w:r>
    </w:p>
    <w:p>
      <w:pPr>
        <w:pStyle w:val="BodyText"/>
        <w:rPr>
          <w:rFonts w:cs="Arial"/>
          <w:sz w:val="20"/>
        </w:rPr>
      </w:pPr>
      <w:r>
        <w:rPr>
          <w:rFonts w:cs="Arial"/>
          <w:sz w:val="20"/>
        </w:rPr>
      </w:r>
    </w:p>
    <w:p>
      <w:pPr>
        <w:pStyle w:val="BodyText"/>
        <w:rPr>
          <w:rFonts w:cs="Arial"/>
          <w:sz w:val="20"/>
        </w:rPr>
      </w:pPr>
      <w:r>
        <w:rPr>
          <w:rFonts w:cs="Arial"/>
          <w:sz w:val="20"/>
        </w:rPr>
      </w:r>
    </w:p>
    <w:p>
      <w:pPr>
        <w:pStyle w:val="BodyText"/>
        <w:numPr>
          <w:ilvl w:val="0"/>
          <w:numId w:val="4"/>
        </w:numPr>
        <w:tabs>
          <w:tab w:val="clear" w:pos="720"/>
          <w:tab w:val="left" w:pos="540" w:leader="none"/>
        </w:tabs>
        <w:ind w:hanging="1440" w:start="1440" w:end="0"/>
        <w:rPr>
          <w:rFonts w:cs="Arial"/>
          <w:b/>
          <w:bCs/>
          <w:sz w:val="20"/>
          <w:u w:val="single"/>
        </w:rPr>
      </w:pPr>
      <w:r>
        <w:rPr>
          <w:rFonts w:cs="Arial"/>
          <w:b/>
          <w:bCs/>
          <w:sz w:val="20"/>
          <w:u w:val="single"/>
        </w:rPr>
        <w:t>Legal Risk Analysis.</w:t>
      </w:r>
    </w:p>
    <w:p>
      <w:pPr>
        <w:pStyle w:val="BodyText"/>
        <w:tabs>
          <w:tab w:val="clear" w:pos="720"/>
          <w:tab w:val="left" w:pos="180" w:leader="none"/>
          <w:tab w:val="left" w:pos="360" w:leader="none"/>
          <w:tab w:val="left" w:pos="540" w:leader="none"/>
        </w:tabs>
        <w:rPr>
          <w:rFonts w:cs="Arial"/>
          <w:b/>
          <w:bCs/>
          <w:sz w:val="20"/>
          <w:u w:val="single"/>
        </w:rPr>
      </w:pPr>
      <w:r>
        <w:rPr>
          <w:rFonts w:cs="Arial"/>
          <w:b/>
          <w:bCs/>
          <w:sz w:val="20"/>
          <w:u w:val="single"/>
        </w:rPr>
      </w:r>
    </w:p>
    <w:p>
      <w:pPr>
        <w:pStyle w:val="BodyText"/>
        <w:rPr>
          <w:rFonts w:cs="Arial"/>
          <w:sz w:val="20"/>
        </w:rPr>
      </w:pPr>
      <w:r>
        <w:rPr>
          <w:rFonts w:cs="Arial"/>
          <w:sz w:val="20"/>
        </w:rPr>
        <w:t>A.  With respect to the first risk, it was determined that the risk of a Regulated Counterparty trying to later void the transaction because it was not an authorized activity is somewhat mitigated with respect to this product for the following reasons:</w:t>
      </w:r>
    </w:p>
    <w:p>
      <w:pPr>
        <w:pStyle w:val="BodyText"/>
        <w:rPr>
          <w:rFonts w:cs="Arial"/>
          <w:sz w:val="20"/>
        </w:rPr>
      </w:pPr>
      <w:r>
        <w:rPr>
          <w:rFonts w:cs="Arial"/>
          <w:sz w:val="20"/>
        </w:rPr>
      </w:r>
    </w:p>
    <w:p>
      <w:pPr>
        <w:pStyle w:val="BodyText"/>
        <w:numPr>
          <w:ilvl w:val="0"/>
          <w:numId w:val="3"/>
        </w:numPr>
        <w:rPr>
          <w:rFonts w:cs="Arial"/>
          <w:sz w:val="20"/>
        </w:rPr>
      </w:pPr>
      <w:r>
        <w:rPr>
          <w:rFonts w:cs="Arial"/>
          <w:sz w:val="20"/>
        </w:rPr>
        <w:t>The counterparty is required to make in the documentation certain specific representations as to their authority to enter into the option.</w:t>
      </w:r>
    </w:p>
    <w:p>
      <w:pPr>
        <w:pStyle w:val="BodyText"/>
        <w:numPr>
          <w:ilvl w:val="0"/>
          <w:numId w:val="3"/>
        </w:numPr>
        <w:rPr>
          <w:rFonts w:cs="Arial"/>
          <w:sz w:val="20"/>
        </w:rPr>
      </w:pPr>
      <w:r>
        <w:rPr>
          <w:rFonts w:cs="Arial"/>
          <w:sz w:val="20"/>
        </w:rPr>
        <w:t>This transaction does not pose the same type of risk faced when a Regulated Counterparty is trying to avoid making to us a periodic swap payment it is obligated to make under a swap agreement.  The Regulated Counterparty’s payment obligation in this case is limited to the premium and is known upfront and paid upfront.  Unless there are delayed or multiple premiums, we will never be in the situation of trying to collect payments under the contract.  To the extent we are ever to take exposure under one of these transactions because of delayed or multiple premium payments or because the form of the transaction is something other than an option, then we should require a more thorough due diligence of the Regulated Counterparty, including possibly requiring the delivery of a legal opinion.</w:t>
      </w:r>
    </w:p>
    <w:p>
      <w:pPr>
        <w:pStyle w:val="BodyText"/>
        <w:numPr>
          <w:ilvl w:val="0"/>
          <w:numId w:val="3"/>
        </w:numPr>
        <w:rPr>
          <w:rFonts w:cs="Arial"/>
          <w:sz w:val="20"/>
        </w:rPr>
      </w:pPr>
      <w:r>
        <w:rPr>
          <w:rFonts w:cs="Arial"/>
          <w:sz w:val="20"/>
        </w:rPr>
        <w:t>The cost of recovery of the premium through arbitration or litigation should discourage pursuit of any claim since the size of the premium would usually not exceed 1 million dollars.</w:t>
      </w:r>
    </w:p>
    <w:p>
      <w:pPr>
        <w:pStyle w:val="BodyText"/>
        <w:rPr>
          <w:rFonts w:cs="Arial"/>
          <w:sz w:val="20"/>
        </w:rPr>
      </w:pPr>
      <w:r>
        <w:rPr>
          <w:rFonts w:cs="Arial"/>
          <w:sz w:val="20"/>
        </w:rPr>
      </w:r>
    </w:p>
    <w:p>
      <w:pPr>
        <w:pStyle w:val="BodyText"/>
        <w:rPr>
          <w:rFonts w:cs="Arial"/>
          <w:sz w:val="20"/>
        </w:rPr>
      </w:pPr>
      <w:r>
        <w:rPr>
          <w:rFonts w:cs="Arial"/>
          <w:sz w:val="20"/>
        </w:rPr>
        <w:t>In the estimate of David Hoog the risk of being required to return a premium is low enough that EGM is willing to assume the risk of being potentially required to return a premium in order to be more competitive in our documentation requirements.</w:t>
      </w:r>
    </w:p>
    <w:p>
      <w:pPr>
        <w:pStyle w:val="BodyText"/>
        <w:tabs>
          <w:tab w:val="clear" w:pos="720"/>
          <w:tab w:val="left" w:pos="180" w:leader="none"/>
          <w:tab w:val="left" w:pos="360" w:leader="none"/>
          <w:tab w:val="left" w:pos="540" w:leader="none"/>
        </w:tabs>
        <w:rPr>
          <w:rFonts w:cs="Arial"/>
          <w:sz w:val="20"/>
        </w:rPr>
      </w:pPr>
      <w:r>
        <w:rPr>
          <w:rFonts w:cs="Arial"/>
          <w:sz w:val="20"/>
        </w:rPr>
      </w:r>
    </w:p>
    <w:p>
      <w:pPr>
        <w:pStyle w:val="BodyText"/>
        <w:rPr>
          <w:rFonts w:cs="Arial"/>
          <w:sz w:val="20"/>
        </w:rPr>
      </w:pPr>
      <w:r>
        <w:rPr>
          <w:rFonts w:cs="Arial"/>
          <w:sz w:val="20"/>
        </w:rPr>
        <w:t xml:space="preserve">B.  With respect to the second risk, the LeBoeuf, Lamb, Greene &amp; MacRae law firm issued an opinion to us analyzing the issue and concluded that as structured, to the extent that the option is not designed to compensate the buyer for an actual loss, it is reasonable to conclude that the option should not be viewed as a transaction of insurance under New York Insurance Law. </w:t>
      </w:r>
    </w:p>
    <w:p>
      <w:pPr>
        <w:pStyle w:val="BodyText"/>
        <w:rPr>
          <w:rFonts w:cs="Arial"/>
          <w:sz w:val="20"/>
        </w:rPr>
      </w:pPr>
      <w:r>
        <w:rPr>
          <w:rFonts w:cs="Arial"/>
          <w:sz w:val="20"/>
        </w:rPr>
      </w:r>
    </w:p>
    <w:p>
      <w:pPr>
        <w:pStyle w:val="BodyText"/>
        <w:rPr>
          <w:rFonts w:cs="Arial"/>
          <w:sz w:val="20"/>
        </w:rPr>
      </w:pPr>
      <w:r>
        <w:rPr>
          <w:rFonts w:cs="Arial"/>
          <w:sz w:val="20"/>
        </w:rPr>
        <w:t>In addition, the risk that this product could be deemed to be insurance is mitigated by the following facts:</w:t>
      </w:r>
    </w:p>
    <w:p>
      <w:pPr>
        <w:pStyle w:val="BodyText"/>
        <w:rPr>
          <w:rFonts w:cs="Arial"/>
          <w:sz w:val="20"/>
        </w:rPr>
      </w:pPr>
      <w:r>
        <w:rPr>
          <w:rFonts w:cs="Arial"/>
          <w:sz w:val="20"/>
        </w:rPr>
      </w:r>
    </w:p>
    <w:p>
      <w:pPr>
        <w:pStyle w:val="BodyText"/>
        <w:numPr>
          <w:ilvl w:val="1"/>
          <w:numId w:val="4"/>
        </w:numPr>
        <w:tabs>
          <w:tab w:val="left" w:pos="720" w:leader="none"/>
          <w:tab w:val="left" w:pos="1980" w:leader="none"/>
        </w:tabs>
        <w:ind w:hanging="360" w:start="720" w:end="0"/>
        <w:rPr>
          <w:rFonts w:cs="Arial"/>
          <w:sz w:val="20"/>
        </w:rPr>
      </w:pPr>
      <w:r>
        <w:rPr>
          <w:rFonts w:cs="Arial"/>
          <w:sz w:val="20"/>
        </w:rPr>
        <w:t xml:space="preserve">There is only going to be a small pool of potential counterparties in any given state.  Only a limited number of power generators would be eligible for this product, 30 or 40 across the United States, which should mitigate the potential size of any controversy.  </w:t>
      </w:r>
    </w:p>
    <w:p>
      <w:pPr>
        <w:pStyle w:val="BodyText"/>
        <w:numPr>
          <w:ilvl w:val="1"/>
          <w:numId w:val="4"/>
        </w:numPr>
        <w:tabs>
          <w:tab w:val="left" w:pos="720" w:leader="none"/>
        </w:tabs>
        <w:ind w:hanging="360" w:start="720" w:end="0"/>
        <w:rPr>
          <w:rFonts w:cs="Arial"/>
          <w:sz w:val="20"/>
        </w:rPr>
      </w:pPr>
      <w:r>
        <w:rPr>
          <w:rFonts w:cs="Arial"/>
          <w:sz w:val="20"/>
        </w:rPr>
        <w:t>There would have to be a complaint to a state insurance department and it would have to make a finding that we were selling an insurance product.  If they were able to make that determination the likely remedy would be a cease and desist order and possibly a fine.  However, according to LeBoeuf Lamb, a fine would likely only be imposed if there is a pattern of violations within the state, and if so, would not likely exceed $100,000.</w:t>
      </w:r>
    </w:p>
    <w:p>
      <w:pPr>
        <w:pStyle w:val="BodyText"/>
        <w:numPr>
          <w:ilvl w:val="1"/>
          <w:numId w:val="4"/>
        </w:numPr>
        <w:tabs>
          <w:tab w:val="left" w:pos="720" w:leader="none"/>
        </w:tabs>
        <w:ind w:hanging="360" w:start="720" w:end="0"/>
        <w:rPr>
          <w:rFonts w:cs="Arial"/>
          <w:sz w:val="20"/>
        </w:rPr>
      </w:pPr>
      <w:r>
        <w:rPr>
          <w:rFonts w:cs="Arial"/>
          <w:sz w:val="20"/>
        </w:rPr>
        <w:t>To ensure that each transaction is properly drafted as a derivative and does not compensate for actual loss, each transaction should be reviewed and signed off on by an Enron attorney prior to execution.</w:t>
      </w:r>
    </w:p>
    <w:p>
      <w:pPr>
        <w:pStyle w:val="BodyText"/>
        <w:tabs>
          <w:tab w:val="clear" w:pos="720"/>
          <w:tab w:val="left" w:pos="180" w:leader="none"/>
          <w:tab w:val="left" w:pos="360" w:leader="none"/>
          <w:tab w:val="left" w:pos="540" w:leader="none"/>
        </w:tabs>
        <w:rPr>
          <w:rFonts w:cs="Arial"/>
          <w:sz w:val="20"/>
        </w:rPr>
      </w:pPr>
      <w:r>
        <w:rPr>
          <w:rFonts w:cs="Arial"/>
          <w:sz w:val="20"/>
        </w:rPr>
      </w:r>
    </w:p>
    <w:p>
      <w:pPr>
        <w:pStyle w:val="BodyText"/>
        <w:numPr>
          <w:ilvl w:val="0"/>
          <w:numId w:val="4"/>
        </w:numPr>
        <w:tabs>
          <w:tab w:val="clear" w:pos="720"/>
          <w:tab w:val="left" w:pos="360" w:leader="none"/>
          <w:tab w:val="left" w:pos="540" w:leader="none"/>
          <w:tab w:val="left" w:pos="1800" w:leader="none"/>
        </w:tabs>
        <w:ind w:hanging="0" w:start="0" w:end="0"/>
        <w:rPr>
          <w:rFonts w:cs="Arial"/>
          <w:b/>
          <w:bCs/>
          <w:sz w:val="20"/>
          <w:u w:val="single"/>
        </w:rPr>
      </w:pPr>
      <w:r>
        <w:rPr>
          <w:rFonts w:eastAsia="Arial" w:cs="Arial"/>
          <w:sz w:val="20"/>
        </w:rPr>
        <w:t xml:space="preserve"> </w:t>
      </w:r>
      <w:r>
        <w:rPr>
          <w:rFonts w:cs="Arial"/>
          <w:sz w:val="20"/>
        </w:rPr>
        <w:tab/>
      </w:r>
      <w:r>
        <w:rPr>
          <w:rFonts w:cs="Arial"/>
          <w:b/>
          <w:bCs/>
          <w:sz w:val="20"/>
          <w:u w:val="single"/>
        </w:rPr>
        <w:t>Conclusion.</w:t>
      </w:r>
      <w:r>
        <w:rPr>
          <w:rFonts w:cs="Arial"/>
          <w:b/>
          <w:bCs/>
          <w:sz w:val="20"/>
        </w:rPr>
        <w:t xml:space="preserve">  </w:t>
      </w:r>
      <w:r>
        <w:rPr>
          <w:rFonts w:cs="Arial"/>
          <w:sz w:val="20"/>
        </w:rPr>
        <w:t>It is recommended to go forward with the product on the following conditions that:</w:t>
      </w:r>
    </w:p>
    <w:p>
      <w:pPr>
        <w:pStyle w:val="BodyText"/>
        <w:rPr>
          <w:rFonts w:cs="Arial"/>
          <w:b/>
          <w:bCs/>
          <w:sz w:val="20"/>
          <w:u w:val="single"/>
        </w:rPr>
      </w:pPr>
      <w:r>
        <w:rPr>
          <w:rFonts w:cs="Arial"/>
          <w:b/>
          <w:bCs/>
          <w:sz w:val="20"/>
          <w:u w:val="single"/>
        </w:rPr>
      </w:r>
    </w:p>
    <w:p>
      <w:pPr>
        <w:pStyle w:val="BodyText"/>
        <w:numPr>
          <w:ilvl w:val="0"/>
          <w:numId w:val="2"/>
        </w:numPr>
        <w:rPr>
          <w:rFonts w:cs="Arial"/>
          <w:sz w:val="20"/>
        </w:rPr>
      </w:pPr>
      <w:r>
        <w:rPr>
          <w:rFonts w:cs="Arial"/>
          <w:sz w:val="20"/>
        </w:rPr>
        <w:t>we are only selling options, and not swaps.</w:t>
      </w:r>
    </w:p>
    <w:p>
      <w:pPr>
        <w:pStyle w:val="BodyText"/>
        <w:numPr>
          <w:ilvl w:val="0"/>
          <w:numId w:val="2"/>
        </w:numPr>
        <w:rPr>
          <w:rFonts w:cs="Arial"/>
          <w:sz w:val="20"/>
        </w:rPr>
      </w:pPr>
      <w:r>
        <w:rPr>
          <w:rFonts w:cs="Arial"/>
          <w:sz w:val="20"/>
        </w:rPr>
        <w:t xml:space="preserve">if the premium involving a Regulated Counterparty is greater than a certain material threshold (such as, greater than $1 million), so that if it is required to be returned it will be detrimental commercially, we should increase our due diligence to ensure the Regulated Counterparty has authority and capacity to transact before the transaction is entered.  </w:t>
      </w:r>
    </w:p>
    <w:p>
      <w:pPr>
        <w:pStyle w:val="BodyText"/>
        <w:numPr>
          <w:ilvl w:val="0"/>
          <w:numId w:val="2"/>
        </w:numPr>
        <w:rPr>
          <w:rFonts w:cs="Arial"/>
          <w:sz w:val="20"/>
        </w:rPr>
      </w:pPr>
      <w:r>
        <w:rPr>
          <w:rFonts w:cs="Arial"/>
          <w:sz w:val="20"/>
        </w:rPr>
        <w:t>an attorney review and sign off on all multi-trigger options prior to execution to ensure that we are not indemnifying for actual losses.</w:t>
      </w:r>
    </w:p>
    <w:p>
      <w:pPr>
        <w:pStyle w:val="BodyText"/>
        <w:rPr>
          <w:rFonts w:cs="Arial"/>
          <w:sz w:val="20"/>
        </w:rPr>
      </w:pPr>
      <w:r>
        <w:rPr>
          <w:rFonts w:cs="Arial"/>
          <w:sz w:val="20"/>
        </w:rPr>
      </w:r>
    </w:p>
    <w:p>
      <w:pPr>
        <w:pStyle w:val="BodyText"/>
        <w:rPr>
          <w:rFonts w:cs="Arial"/>
          <w:sz w:val="20"/>
        </w:rPr>
      </w:pPr>
      <w:r>
        <w:rPr>
          <w:rFonts w:cs="Arial"/>
          <w:sz w:val="20"/>
        </w:rPr>
        <w:t>cc:</w:t>
        <w:tab/>
        <w:t>Mark Taylor</w:t>
      </w:r>
    </w:p>
    <w:p>
      <w:pPr>
        <w:pStyle w:val="BodyText"/>
        <w:rPr>
          <w:rFonts w:cs="Arial"/>
          <w:sz w:val="20"/>
        </w:rPr>
      </w:pPr>
      <w:r>
        <w:rPr>
          <w:rFonts w:cs="Arial"/>
          <w:sz w:val="20"/>
        </w:rPr>
        <w:tab/>
        <w:t>Alan Aronowitz</w:t>
      </w:r>
    </w:p>
    <w:p>
      <w:pPr>
        <w:pStyle w:val="BodyText"/>
        <w:ind w:firstLine="720" w:end="0"/>
        <w:rPr>
          <w:rFonts w:cs="Arial"/>
          <w:sz w:val="20"/>
        </w:rPr>
      </w:pPr>
      <w:r>
        <w:rPr>
          <w:rFonts w:cs="Arial"/>
          <w:sz w:val="20"/>
        </w:rPr>
        <w:t>David Hoog</w:t>
      </w:r>
    </w:p>
    <w:p>
      <w:pPr>
        <w:pStyle w:val="BodyText"/>
        <w:rPr>
          <w:rFonts w:cs="Arial"/>
          <w:sz w:val="20"/>
        </w:rPr>
      </w:pPr>
      <w:r>
        <w:rPr>
          <w:rFonts w:cs="Arial"/>
          <w:sz w:val="20"/>
        </w:rPr>
        <w:tab/>
        <w:t>Per Sekse</w:t>
      </w:r>
    </w:p>
    <w:sectPr>
      <w:headerReference w:type="default" r:id="rId3"/>
      <w:type w:val="nextPage"/>
      <w:pgSz w:w="12240" w:h="15840"/>
      <w:pgMar w:left="1440" w:right="1440" w:gutter="0" w:header="72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8280" w:leader="none"/>
      </w:tabs>
      <w:ind w:end="-720"/>
      <w:jc w:val="end"/>
      <w:rPr/>
    </w:pPr>
    <w:r>
      <w:rPr>
        <w:b/>
        <w:bCs/>
      </w:rPr>
      <w:t xml:space="preserve">DRAFT                                                                                            </w:t>
    </w:r>
    <w:r>
      <w:rPr>
        <w:b/>
        <w:bCs/>
        <w:u w:val="single"/>
      </w:rPr>
      <w:t>PRIVILEGED &amp; CONFIDENTIAL</w:t>
    </w:r>
  </w:p>
  <w:p>
    <w:pPr>
      <w:pStyle w:val="Header"/>
      <w:tabs>
        <w:tab w:val="clear" w:pos="8640"/>
        <w:tab w:val="center" w:pos="4320" w:leader="none"/>
        <w:tab w:val="right" w:pos="8100" w:leader="none"/>
      </w:tabs>
      <w:ind w:end="-720"/>
      <w:jc w:val="end"/>
      <w:rPr/>
    </w:pPr>
    <w:r>
      <w:rPr/>
      <w:t>ATTORNEY-CLIENT COMMUNICATION</w:t>
    </w:r>
  </w:p>
  <w:p>
    <w:pPr>
      <w:pStyle w:val="Header"/>
      <w:tabs>
        <w:tab w:val="clear" w:pos="8640"/>
        <w:tab w:val="center" w:pos="4320" w:leader="none"/>
        <w:tab w:val="right" w:pos="8100" w:leader="none"/>
      </w:tabs>
      <w:ind w:end="-720"/>
      <w:jc w:val="end"/>
      <w:rPr/>
    </w:pPr>
    <w:r>
      <w:rPr/>
      <w:t xml:space="preserve"> </w:t>
    </w:r>
    <w:r>
      <w:rPr/>
      <w:t>&amp; 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3"/>
      <w:numFmt w:val="upperRoman"/>
      <w:lvlText w:val="%1."/>
      <w:lvlJc w:val="start"/>
      <w:pPr>
        <w:tabs>
          <w:tab w:val="num" w:pos="720"/>
        </w:tabs>
        <w:ind w:start="1440" w:hanging="72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bottom w:val="single" w:sz="18" w:space="1" w:color="000000"/>
      </w:pBdr>
      <w:tabs>
        <w:tab w:val="clear" w:pos="720"/>
        <w:tab w:val="left" w:pos="1344" w:leader="none"/>
        <w:tab w:val="left" w:pos="5106" w:leader="none"/>
        <w:tab w:val="left" w:pos="7254" w:leader="none"/>
      </w:tabs>
      <w:jc w:val="both"/>
      <w:outlineLvl w:val="0"/>
    </w:pPr>
    <w:rPr>
      <w:rFonts w:ascii="Arial" w:hAnsi="Arial" w:cs="Arial"/>
      <w:b/>
      <w:bCs/>
      <w:sz w:val="20"/>
    </w:rPr>
  </w:style>
  <w:style w:type="paragraph" w:styleId="Heading2">
    <w:name w:val="heading 2"/>
    <w:basedOn w:val="Normal"/>
    <w:next w:val="Normal"/>
    <w:qFormat/>
    <w:pPr>
      <w:keepNext w:val="true"/>
      <w:numPr>
        <w:ilvl w:val="1"/>
        <w:numId w:val="1"/>
      </w:numPr>
      <w:ind w:hanging="0" w:start="6030" w:end="0"/>
      <w:outlineLvl w:val="1"/>
    </w:pPr>
    <w:rPr>
      <w:rFonts w:ascii="Arial" w:hAnsi="Arial" w:cs="Arial"/>
      <w:b/>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6"/>
      <w:szCs w:val="20"/>
    </w:rPr>
  </w:style>
  <w:style w:type="paragraph" w:styleId="List">
    <w:name w:val="List"/>
    <w:basedOn w:val="BodyText"/>
    <w:pPr/>
    <w:rPr>
      <w:rFonts w:cs="NotoSans NF"/>
    </w:rPr>
  </w:style>
  <w:style w:type="paragraph" w:styleId="Caption">
    <w:name w:val="caption"/>
    <w:basedOn w:val="Normal"/>
    <w:next w:val="Normal"/>
    <w:qFormat/>
    <w:pPr>
      <w:ind w:hanging="0" w:start="6030" w:end="0"/>
    </w:pPr>
    <w:rPr>
      <w:rFonts w:ascii="Arial" w:hAnsi="Arial" w:cs="Arial"/>
      <w:b/>
      <w:sz w:val="3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2001-06-01T15:20:00Z</dcterms:created>
  <dc:creator>bhendry</dc:creator>
  <dc:description/>
  <dc:language>en-CA</dc:language>
  <cp:lastModifiedBy>Limor Nissan</cp:lastModifiedBy>
  <cp:lastPrinted>2001-06-01T13:49:00Z</cp:lastPrinted>
  <dcterms:modified xsi:type="dcterms:W3CDTF">2001-06-01T15:20:00Z</dcterms:modified>
  <cp:revision>2</cp:revision>
  <dc:subject/>
  <dc:title>  </dc:title>
</cp:coreProperties>
</file>