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640" w:leader="none"/>
        </w:tabs>
        <w:jc w:val="both"/>
        <w:rPr/>
      </w:pPr>
      <w:r>
        <w:rPr>
          <w:rFonts w:cs="Arial" w:ascii="Arial" w:hAnsi="Arial"/>
          <w:sz w:val="20"/>
        </w:rPr>
        <w:drawing>
          <wp:inline distT="0" distB="0" distL="0" distR="0">
            <wp:extent cx="941705" cy="9353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41705" cy="935355"/>
                    </a:xfrm>
                    <a:prstGeom prst="rect">
                      <a:avLst/>
                    </a:prstGeom>
                    <a:noFill/>
                  </pic:spPr>
                </pic:pic>
              </a:graphicData>
            </a:graphic>
          </wp:inline>
        </w:drawing>
      </w:r>
      <w:r>
        <w:rPr>
          <w:rFonts w:eastAsia="Arial" w:cs="Arial" w:ascii="Arial" w:hAnsi="Arial"/>
          <w:b/>
          <w:sz w:val="20"/>
        </w:rPr>
        <w:t xml:space="preserve"> </w:t>
      </w:r>
      <w:r>
        <w:rPr>
          <w:rFonts w:cs="Arial" w:ascii="Arial" w:hAnsi="Arial"/>
          <w:b/>
          <w:sz w:val="20"/>
        </w:rPr>
        <w:tab/>
      </w:r>
    </w:p>
    <w:p>
      <w:pPr>
        <w:pStyle w:val="Normal"/>
        <w:tabs>
          <w:tab w:val="clear" w:pos="720"/>
          <w:tab w:val="right" w:pos="8640" w:leader="none"/>
        </w:tabs>
        <w:jc w:val="both"/>
        <w:rPr>
          <w:rFonts w:ascii="Arial" w:hAnsi="Arial" w:cs="Arial"/>
          <w:b/>
          <w:sz w:val="20"/>
        </w:rPr>
      </w:pPr>
      <w:r>
        <w:rPr>
          <w:rFonts w:cs="Arial" w:ascii="Arial" w:hAnsi="Arial"/>
          <w:b/>
          <w:sz w:val="20"/>
        </w:rPr>
        <w:t>Natural Gas,</w:t>
      </w:r>
    </w:p>
    <w:p>
      <w:pPr>
        <w:pStyle w:val="Normal"/>
        <w:tabs>
          <w:tab w:val="clear" w:pos="720"/>
          <w:tab w:val="right" w:pos="8640" w:leader="none"/>
        </w:tabs>
        <w:jc w:val="both"/>
        <w:rPr>
          <w:rFonts w:ascii="Arial" w:hAnsi="Arial" w:cs="Arial"/>
          <w:b/>
          <w:sz w:val="20"/>
        </w:rPr>
      </w:pPr>
      <w:r>
        <w:rPr>
          <w:rFonts w:cs="Arial" w:ascii="Arial" w:hAnsi="Arial"/>
          <w:b/>
          <w:sz w:val="20"/>
        </w:rPr>
        <w:t>Electricity and</w:t>
        <w:tab/>
      </w:r>
    </w:p>
    <w:p>
      <w:pPr>
        <w:pStyle w:val="Normal"/>
        <w:tabs>
          <w:tab w:val="clear" w:pos="720"/>
          <w:tab w:val="right" w:pos="8640" w:leader="none"/>
        </w:tabs>
        <w:jc w:val="both"/>
        <w:rPr>
          <w:rFonts w:ascii="Arial" w:hAnsi="Arial" w:cs="Arial"/>
          <w:b/>
          <w:sz w:val="20"/>
        </w:rPr>
      </w:pPr>
      <w:r>
        <w:rPr>
          <w:rFonts w:cs="Arial" w:ascii="Arial" w:hAnsi="Arial"/>
          <w:b/>
          <w:sz w:val="20"/>
        </w:rPr>
        <w:t>Endless Possibilities</w:t>
        <w:tab/>
      </w:r>
    </w:p>
    <w:p>
      <w:pPr>
        <w:pStyle w:val="Normal"/>
        <w:tabs>
          <w:tab w:val="clear" w:pos="720"/>
          <w:tab w:val="right" w:pos="8640" w:leader="none"/>
        </w:tabs>
        <w:jc w:val="both"/>
        <w:rPr>
          <w:rFonts w:ascii="Arial" w:hAnsi="Arial" w:cs="Arial"/>
          <w:b/>
          <w:sz w:val="20"/>
        </w:rPr>
      </w:pPr>
      <w:r>
        <w:rPr>
          <w:rFonts w:cs="Arial" w:ascii="Arial" w:hAnsi="Arial"/>
          <w:b/>
          <w:sz w:val="20"/>
        </w:rPr>
      </w:r>
    </w:p>
    <w:p>
      <w:pPr>
        <w:pStyle w:val="Heading1"/>
        <w:ind w:start="4230" w:end="0"/>
        <w:rPr>
          <w:sz w:val="28"/>
        </w:rPr>
      </w:pPr>
      <w:r>
        <w:rPr>
          <w:sz w:val="28"/>
        </w:rPr>
        <w:t>INTEROFFICE</w:t>
      </w:r>
    </w:p>
    <w:p>
      <w:pPr>
        <w:pStyle w:val="Heading2"/>
        <w:rPr>
          <w:sz w:val="28"/>
        </w:rPr>
      </w:pPr>
      <w:r>
        <w:rPr>
          <w:sz w:val="28"/>
        </w:rPr>
        <w:t>MEMORANDUM</w:t>
      </w:r>
    </w:p>
    <w:p>
      <w:pPr>
        <w:pStyle w:val="Footer"/>
        <w:tabs>
          <w:tab w:val="clear" w:pos="4320"/>
          <w:tab w:val="clear" w:pos="8640"/>
        </w:tabs>
        <w:rPr>
          <w:rFonts w:ascii="Arial" w:hAnsi="Arial" w:cs="Arial"/>
          <w:sz w:val="28"/>
        </w:rPr>
      </w:pPr>
      <w:r>
        <w:rPr>
          <w:rFonts w:cs="Arial" w:ascii="Arial" w:hAnsi="Arial"/>
          <w:sz w:val="28"/>
        </w:rPr>
      </w:r>
    </w:p>
    <w:p>
      <w:pPr>
        <w:pStyle w:val="Heading4"/>
        <w:ind w:hanging="0" w:start="0"/>
        <w:rPr>
          <w:rFonts w:ascii="Arial" w:hAnsi="Arial" w:cs="Arial"/>
          <w:sz w:val="20"/>
        </w:rPr>
      </w:pPr>
      <w:r>
        <w:rPr>
          <w:rFonts w:cs="Arial" w:ascii="Arial" w:hAnsi="Arial"/>
          <w:sz w:val="20"/>
        </w:rPr>
        <w:t>PRIVILEGED AND CONFIDENTIAL</w:t>
      </w:r>
    </w:p>
    <w:p>
      <w:pPr>
        <w:pStyle w:val="Normal"/>
        <w:jc w:val="end"/>
        <w:rPr>
          <w:rFonts w:ascii="Arial" w:hAnsi="Arial" w:cs="Arial"/>
          <w:b/>
          <w:sz w:val="20"/>
        </w:rPr>
      </w:pPr>
      <w:r>
        <w:rPr>
          <w:rFonts w:cs="Arial" w:ascii="Arial" w:hAnsi="Arial"/>
          <w:b/>
          <w:sz w:val="20"/>
        </w:rPr>
        <w:t>ATTORNEY WORK PRODUCT</w:t>
      </w:r>
    </w:p>
    <w:p>
      <w:pPr>
        <w:pStyle w:val="Normal"/>
        <w:tabs>
          <w:tab w:val="clear" w:pos="720"/>
          <w:tab w:val="right" w:pos="8640" w:leader="none"/>
        </w:tabs>
        <w:jc w:val="both"/>
        <w:rPr>
          <w:rFonts w:ascii="Arial" w:hAnsi="Arial" w:cs="Arial"/>
          <w:b/>
          <w:sz w:val="20"/>
        </w:rPr>
      </w:pPr>
      <w:r>
        <w:rPr>
          <w:rFonts w:cs="Arial" w:ascii="Arial" w:hAnsi="Arial"/>
          <w:b/>
          <w:sz w:val="20"/>
        </w:rPr>
      </w:r>
    </w:p>
    <w:tbl>
      <w:tblPr>
        <w:tblW w:w="9648" w:type="dxa"/>
        <w:jc w:val="start"/>
        <w:tblInd w:w="0" w:type="dxa"/>
        <w:tblLayout w:type="fixed"/>
        <w:tblCellMar>
          <w:top w:w="0" w:type="dxa"/>
          <w:start w:w="108" w:type="dxa"/>
          <w:bottom w:w="0" w:type="dxa"/>
          <w:end w:w="108" w:type="dxa"/>
        </w:tblCellMar>
      </w:tblPr>
      <w:tblGrid>
        <w:gridCol w:w="1569"/>
        <w:gridCol w:w="3762"/>
        <w:gridCol w:w="1673"/>
        <w:gridCol w:w="475"/>
        <w:gridCol w:w="279"/>
        <w:gridCol w:w="1890"/>
      </w:tblGrid>
      <w:tr>
        <w:trPr/>
        <w:tc>
          <w:tcPr>
            <w:tcW w:w="1569" w:type="dxa"/>
            <w:tcBorders/>
          </w:tcPr>
          <w:p>
            <w:pPr>
              <w:pStyle w:val="Normal"/>
              <w:rPr>
                <w:rFonts w:ascii="Arial" w:hAnsi="Arial" w:cs="Arial"/>
                <w:sz w:val="20"/>
              </w:rPr>
            </w:pPr>
            <w:r>
              <w:rPr>
                <w:rFonts w:cs="Arial" w:ascii="Arial" w:hAnsi="Arial"/>
                <w:b/>
                <w:sz w:val="20"/>
              </w:rPr>
              <w:t>TO:</w:t>
            </w:r>
          </w:p>
        </w:tc>
        <w:tc>
          <w:tcPr>
            <w:tcW w:w="3762" w:type="dxa"/>
            <w:tcBorders/>
          </w:tcPr>
          <w:p>
            <w:pPr>
              <w:pStyle w:val="Normal"/>
              <w:rPr>
                <w:rFonts w:ascii="Arial" w:hAnsi="Arial" w:cs="Arial"/>
                <w:sz w:val="20"/>
              </w:rPr>
            </w:pPr>
            <w:r>
              <w:rPr>
                <w:rFonts w:cs="Arial" w:ascii="Arial" w:hAnsi="Arial"/>
                <w:sz w:val="20"/>
              </w:rPr>
              <w:t>Mark Haedicke</w:t>
            </w:r>
          </w:p>
          <w:p>
            <w:pPr>
              <w:pStyle w:val="Normal"/>
              <w:rPr>
                <w:rFonts w:ascii="Arial" w:hAnsi="Arial" w:cs="Arial"/>
                <w:sz w:val="20"/>
              </w:rPr>
            </w:pPr>
            <w:r>
              <w:rPr>
                <w:rFonts w:cs="Arial" w:ascii="Arial" w:hAnsi="Arial"/>
                <w:sz w:val="20"/>
              </w:rPr>
              <w:t>Sheila Tweed</w:t>
            </w:r>
          </w:p>
          <w:p>
            <w:pPr>
              <w:pStyle w:val="Normal"/>
              <w:rPr>
                <w:rFonts w:ascii="Arial" w:hAnsi="Arial" w:cs="Arial"/>
                <w:sz w:val="20"/>
              </w:rPr>
            </w:pPr>
            <w:r>
              <w:rPr>
                <w:rFonts w:cs="Arial" w:ascii="Arial" w:hAnsi="Arial"/>
                <w:sz w:val="20"/>
              </w:rPr>
              <w:t>Chris Calger</w:t>
            </w:r>
          </w:p>
          <w:p>
            <w:pPr>
              <w:pStyle w:val="Normal"/>
              <w:rPr>
                <w:rFonts w:ascii="Arial" w:hAnsi="Arial" w:cs="Arial"/>
                <w:sz w:val="20"/>
              </w:rPr>
            </w:pPr>
            <w:r>
              <w:rPr>
                <w:rFonts w:cs="Arial" w:ascii="Arial" w:hAnsi="Arial"/>
                <w:sz w:val="20"/>
              </w:rPr>
              <w:t>Jake Thomas</w:t>
            </w:r>
          </w:p>
        </w:tc>
        <w:tc>
          <w:tcPr>
            <w:tcW w:w="2427" w:type="dxa"/>
            <w:gridSpan w:val="3"/>
            <w:tcBorders/>
          </w:tcPr>
          <w:p>
            <w:pPr>
              <w:pStyle w:val="Normal"/>
              <w:snapToGrid w:val="false"/>
              <w:rPr>
                <w:rFonts w:ascii="Arial" w:hAnsi="Arial" w:cs="Arial"/>
                <w:sz w:val="20"/>
              </w:rPr>
            </w:pPr>
            <w:r>
              <w:rPr>
                <w:rFonts w:cs="Arial" w:ascii="Arial" w:hAnsi="Arial"/>
                <w:sz w:val="20"/>
              </w:rPr>
            </w:r>
          </w:p>
        </w:tc>
        <w:tc>
          <w:tcPr>
            <w:tcW w:w="1890" w:type="dxa"/>
            <w:tcBorders/>
          </w:tcPr>
          <w:p>
            <w:pPr>
              <w:pStyle w:val="Normal"/>
              <w:snapToGrid w:val="false"/>
              <w:rPr>
                <w:rFonts w:ascii="Arial" w:hAnsi="Arial" w:cs="Arial"/>
                <w:sz w:val="20"/>
              </w:rPr>
            </w:pPr>
            <w:r>
              <w:rPr>
                <w:rFonts w:cs="Arial" w:ascii="Arial" w:hAnsi="Arial"/>
                <w:sz w:val="20"/>
              </w:rPr>
            </w:r>
          </w:p>
        </w:tc>
      </w:tr>
      <w:tr>
        <w:trPr/>
        <w:tc>
          <w:tcPr>
            <w:tcW w:w="1569" w:type="dxa"/>
            <w:tcBorders/>
          </w:tcPr>
          <w:p>
            <w:pPr>
              <w:pStyle w:val="Normal"/>
              <w:snapToGrid w:val="false"/>
              <w:rPr>
                <w:rFonts w:ascii="Arial" w:hAnsi="Arial" w:cs="Arial"/>
                <w:sz w:val="20"/>
              </w:rPr>
            </w:pPr>
            <w:r>
              <w:rPr>
                <w:rFonts w:cs="Arial" w:ascii="Arial" w:hAnsi="Arial"/>
                <w:sz w:val="20"/>
              </w:rPr>
            </w:r>
          </w:p>
        </w:tc>
        <w:tc>
          <w:tcPr>
            <w:tcW w:w="3762" w:type="dxa"/>
            <w:tcBorders/>
          </w:tcPr>
          <w:p>
            <w:pPr>
              <w:pStyle w:val="Normal"/>
              <w:snapToGrid w:val="false"/>
              <w:rPr>
                <w:rFonts w:ascii="Arial" w:hAnsi="Arial" w:cs="Arial"/>
                <w:sz w:val="20"/>
              </w:rPr>
            </w:pPr>
            <w:r>
              <w:rPr>
                <w:rFonts w:cs="Arial" w:ascii="Arial" w:hAnsi="Arial"/>
                <w:sz w:val="20"/>
              </w:rPr>
            </w:r>
          </w:p>
        </w:tc>
        <w:tc>
          <w:tcPr>
            <w:tcW w:w="2148" w:type="dxa"/>
            <w:gridSpan w:val="2"/>
            <w:tcBorders/>
          </w:tcPr>
          <w:p>
            <w:pPr>
              <w:pStyle w:val="Normal"/>
              <w:snapToGrid w:val="false"/>
              <w:rPr>
                <w:rFonts w:ascii="Arial" w:hAnsi="Arial" w:cs="Arial"/>
                <w:sz w:val="20"/>
              </w:rPr>
            </w:pPr>
            <w:r>
              <w:rPr>
                <w:rFonts w:cs="Arial" w:ascii="Arial" w:hAnsi="Arial"/>
                <w:sz w:val="20"/>
              </w:rPr>
            </w:r>
          </w:p>
        </w:tc>
        <w:tc>
          <w:tcPr>
            <w:tcW w:w="2169" w:type="dxa"/>
            <w:gridSpan w:val="2"/>
            <w:tcBorders/>
          </w:tcPr>
          <w:p>
            <w:pPr>
              <w:pStyle w:val="Normal"/>
              <w:snapToGrid w:val="false"/>
              <w:rPr>
                <w:rFonts w:ascii="Arial" w:hAnsi="Arial" w:cs="Arial"/>
                <w:sz w:val="20"/>
              </w:rPr>
            </w:pPr>
            <w:r>
              <w:rPr>
                <w:rFonts w:cs="Arial" w:ascii="Arial" w:hAnsi="Arial"/>
                <w:sz w:val="20"/>
              </w:rPr>
            </w:r>
          </w:p>
        </w:tc>
      </w:tr>
      <w:tr>
        <w:trPr/>
        <w:tc>
          <w:tcPr>
            <w:tcW w:w="1569" w:type="dxa"/>
            <w:tcBorders/>
          </w:tcPr>
          <w:p>
            <w:pPr>
              <w:pStyle w:val="Normal"/>
              <w:rPr>
                <w:rFonts w:ascii="Arial" w:hAnsi="Arial" w:cs="Arial"/>
                <w:sz w:val="20"/>
              </w:rPr>
            </w:pPr>
            <w:r>
              <w:rPr>
                <w:rFonts w:cs="Arial" w:ascii="Arial" w:hAnsi="Arial"/>
                <w:b/>
                <w:sz w:val="20"/>
              </w:rPr>
              <w:t>FROM:</w:t>
            </w:r>
          </w:p>
        </w:tc>
        <w:tc>
          <w:tcPr>
            <w:tcW w:w="3762" w:type="dxa"/>
            <w:tcBorders/>
          </w:tcPr>
          <w:p>
            <w:pPr>
              <w:pStyle w:val="Normal"/>
              <w:rPr>
                <w:rFonts w:ascii="Arial" w:hAnsi="Arial" w:cs="Arial"/>
                <w:sz w:val="20"/>
              </w:rPr>
            </w:pPr>
            <w:r>
              <w:rPr>
                <w:rFonts w:cs="Arial" w:ascii="Arial" w:hAnsi="Arial"/>
                <w:sz w:val="20"/>
              </w:rPr>
              <w:t>Alan S. Larsen</w:t>
            </w:r>
          </w:p>
        </w:tc>
        <w:tc>
          <w:tcPr>
            <w:tcW w:w="2148" w:type="dxa"/>
            <w:gridSpan w:val="2"/>
            <w:tcBorders/>
          </w:tcPr>
          <w:p>
            <w:pPr>
              <w:pStyle w:val="Normal"/>
              <w:rPr>
                <w:rFonts w:ascii="Arial" w:hAnsi="Arial" w:cs="Arial"/>
                <w:sz w:val="20"/>
              </w:rPr>
            </w:pPr>
            <w:r>
              <w:rPr>
                <w:rFonts w:cs="Arial" w:ascii="Arial" w:hAnsi="Arial"/>
                <w:b/>
                <w:sz w:val="20"/>
              </w:rPr>
              <w:t>DEPARTMENT:</w:t>
            </w:r>
          </w:p>
        </w:tc>
        <w:tc>
          <w:tcPr>
            <w:tcW w:w="2169" w:type="dxa"/>
            <w:gridSpan w:val="2"/>
            <w:tcBorders/>
          </w:tcPr>
          <w:p>
            <w:pPr>
              <w:pStyle w:val="Normal"/>
              <w:rPr>
                <w:rFonts w:ascii="Arial" w:hAnsi="Arial" w:cs="Arial"/>
                <w:sz w:val="20"/>
              </w:rPr>
            </w:pPr>
            <w:r>
              <w:rPr>
                <w:rFonts w:cs="Arial" w:ascii="Arial" w:hAnsi="Arial"/>
                <w:sz w:val="20"/>
              </w:rPr>
              <w:t>ENA Legal – Portland</w:t>
            </w:r>
          </w:p>
        </w:tc>
      </w:tr>
      <w:tr>
        <w:trPr/>
        <w:tc>
          <w:tcPr>
            <w:tcW w:w="1569" w:type="dxa"/>
            <w:tcBorders/>
          </w:tcPr>
          <w:p>
            <w:pPr>
              <w:pStyle w:val="Normal"/>
              <w:snapToGrid w:val="false"/>
              <w:rPr>
                <w:rFonts w:ascii="Arial" w:hAnsi="Arial" w:cs="Arial"/>
                <w:b/>
                <w:sz w:val="20"/>
              </w:rPr>
            </w:pPr>
            <w:r>
              <w:rPr>
                <w:rFonts w:cs="Arial" w:ascii="Arial" w:hAnsi="Arial"/>
                <w:b/>
                <w:sz w:val="20"/>
              </w:rPr>
            </w:r>
          </w:p>
        </w:tc>
        <w:tc>
          <w:tcPr>
            <w:tcW w:w="3762" w:type="dxa"/>
            <w:tcBorders/>
          </w:tcPr>
          <w:p>
            <w:pPr>
              <w:pStyle w:val="Normal"/>
              <w:snapToGrid w:val="false"/>
              <w:rPr>
                <w:rFonts w:ascii="Arial" w:hAnsi="Arial" w:cs="Arial"/>
                <w:b/>
                <w:sz w:val="20"/>
              </w:rPr>
            </w:pPr>
            <w:r>
              <w:rPr>
                <w:rFonts w:cs="Arial" w:ascii="Arial" w:hAnsi="Arial"/>
                <w:b/>
                <w:sz w:val="20"/>
              </w:rPr>
            </w:r>
          </w:p>
        </w:tc>
        <w:tc>
          <w:tcPr>
            <w:tcW w:w="2148" w:type="dxa"/>
            <w:gridSpan w:val="2"/>
            <w:tcBorders/>
          </w:tcPr>
          <w:p>
            <w:pPr>
              <w:pStyle w:val="Normal"/>
              <w:snapToGrid w:val="false"/>
              <w:rPr>
                <w:rFonts w:ascii="Arial" w:hAnsi="Arial" w:cs="Arial"/>
                <w:b/>
                <w:sz w:val="20"/>
              </w:rPr>
            </w:pPr>
            <w:r>
              <w:rPr>
                <w:rFonts w:cs="Arial" w:ascii="Arial" w:hAnsi="Arial"/>
                <w:b/>
                <w:sz w:val="20"/>
              </w:rPr>
            </w:r>
          </w:p>
        </w:tc>
        <w:tc>
          <w:tcPr>
            <w:tcW w:w="2169" w:type="dxa"/>
            <w:gridSpan w:val="2"/>
            <w:tcBorders/>
          </w:tcPr>
          <w:p>
            <w:pPr>
              <w:pStyle w:val="Normal"/>
              <w:snapToGrid w:val="false"/>
              <w:rPr>
                <w:rFonts w:ascii="Arial" w:hAnsi="Arial" w:cs="Arial"/>
                <w:b/>
                <w:sz w:val="20"/>
              </w:rPr>
            </w:pPr>
            <w:r>
              <w:rPr>
                <w:rFonts w:cs="Arial" w:ascii="Arial" w:hAnsi="Arial"/>
                <w:b/>
                <w:sz w:val="20"/>
              </w:rPr>
            </w:r>
          </w:p>
        </w:tc>
      </w:tr>
      <w:tr>
        <w:trPr/>
        <w:tc>
          <w:tcPr>
            <w:tcW w:w="1569" w:type="dxa"/>
            <w:tcBorders/>
          </w:tcPr>
          <w:p>
            <w:pPr>
              <w:pStyle w:val="Normal"/>
              <w:rPr>
                <w:rFonts w:ascii="Arial" w:hAnsi="Arial" w:cs="Arial"/>
                <w:sz w:val="20"/>
              </w:rPr>
            </w:pPr>
            <w:r>
              <w:rPr>
                <w:rFonts w:cs="Arial" w:ascii="Arial" w:hAnsi="Arial"/>
                <w:b/>
                <w:sz w:val="20"/>
              </w:rPr>
              <w:t>SUBJECT:</w:t>
            </w:r>
          </w:p>
        </w:tc>
        <w:tc>
          <w:tcPr>
            <w:tcW w:w="3762" w:type="dxa"/>
            <w:tcBorders/>
          </w:tcPr>
          <w:p>
            <w:pPr>
              <w:pStyle w:val="Normal"/>
              <w:rPr>
                <w:rFonts w:ascii="Arial" w:hAnsi="Arial" w:cs="Arial"/>
                <w:sz w:val="20"/>
              </w:rPr>
            </w:pPr>
            <w:r>
              <w:rPr>
                <w:rFonts w:cs="Arial" w:ascii="Arial" w:hAnsi="Arial"/>
                <w:sz w:val="20"/>
              </w:rPr>
              <w:t>Legal Risks:  Executing Power Purchase Agreement with Public Service Co. of Colorado</w:t>
            </w:r>
          </w:p>
        </w:tc>
        <w:tc>
          <w:tcPr>
            <w:tcW w:w="1673" w:type="dxa"/>
            <w:tcBorders/>
          </w:tcPr>
          <w:p>
            <w:pPr>
              <w:pStyle w:val="Normal"/>
              <w:rPr>
                <w:rFonts w:ascii="Arial" w:hAnsi="Arial" w:cs="Arial"/>
                <w:sz w:val="20"/>
              </w:rPr>
            </w:pPr>
            <w:r>
              <w:rPr>
                <w:rFonts w:cs="Arial" w:ascii="Arial" w:hAnsi="Arial"/>
                <w:b/>
                <w:sz w:val="20"/>
              </w:rPr>
              <w:t>DATE:</w:t>
            </w:r>
          </w:p>
        </w:tc>
        <w:tc>
          <w:tcPr>
            <w:tcW w:w="2644" w:type="dxa"/>
            <w:gridSpan w:val="3"/>
            <w:tcBorders/>
          </w:tcPr>
          <w:p>
            <w:pPr>
              <w:pStyle w:val="Normal"/>
              <w:rPr>
                <w:rFonts w:ascii="Arial" w:hAnsi="Arial" w:cs="Arial"/>
                <w:sz w:val="20"/>
              </w:rPr>
            </w:pPr>
            <w:r>
              <w:rPr>
                <w:rFonts w:cs="Arial" w:ascii="Arial" w:hAnsi="Arial"/>
                <w:sz w:val="20"/>
              </w:rPr>
              <w:t>October 10, 2000</w:t>
            </w:r>
          </w:p>
        </w:tc>
      </w:tr>
      <w:tr>
        <w:trPr/>
        <w:tc>
          <w:tcPr>
            <w:tcW w:w="1569" w:type="dxa"/>
            <w:tcBorders/>
          </w:tcPr>
          <w:p>
            <w:pPr>
              <w:pStyle w:val="Normal"/>
              <w:snapToGrid w:val="false"/>
              <w:rPr>
                <w:rFonts w:ascii="Arial" w:hAnsi="Arial" w:cs="Arial"/>
                <w:b/>
                <w:sz w:val="20"/>
              </w:rPr>
            </w:pPr>
            <w:r>
              <w:rPr>
                <w:rFonts w:cs="Arial" w:ascii="Arial" w:hAnsi="Arial"/>
                <w:b/>
                <w:sz w:val="20"/>
              </w:rPr>
            </w:r>
          </w:p>
        </w:tc>
        <w:tc>
          <w:tcPr>
            <w:tcW w:w="3762" w:type="dxa"/>
            <w:tcBorders/>
          </w:tcPr>
          <w:p>
            <w:pPr>
              <w:pStyle w:val="Normal"/>
              <w:snapToGrid w:val="false"/>
              <w:rPr>
                <w:rFonts w:ascii="Arial" w:hAnsi="Arial" w:cs="Arial"/>
                <w:b/>
                <w:sz w:val="20"/>
              </w:rPr>
            </w:pPr>
            <w:r>
              <w:rPr>
                <w:rFonts w:cs="Arial" w:ascii="Arial" w:hAnsi="Arial"/>
                <w:b/>
                <w:sz w:val="20"/>
              </w:rPr>
            </w:r>
          </w:p>
        </w:tc>
        <w:tc>
          <w:tcPr>
            <w:tcW w:w="1673" w:type="dxa"/>
            <w:tcBorders/>
          </w:tcPr>
          <w:p>
            <w:pPr>
              <w:pStyle w:val="Normal"/>
              <w:snapToGrid w:val="false"/>
              <w:rPr>
                <w:rFonts w:ascii="Arial" w:hAnsi="Arial" w:cs="Arial"/>
                <w:b/>
                <w:sz w:val="20"/>
              </w:rPr>
            </w:pPr>
            <w:r>
              <w:rPr>
                <w:rFonts w:cs="Arial" w:ascii="Arial" w:hAnsi="Arial"/>
                <w:b/>
                <w:sz w:val="20"/>
              </w:rPr>
            </w:r>
          </w:p>
        </w:tc>
        <w:tc>
          <w:tcPr>
            <w:tcW w:w="2644" w:type="dxa"/>
            <w:gridSpan w:val="3"/>
            <w:tcBorders/>
          </w:tcPr>
          <w:p>
            <w:pPr>
              <w:pStyle w:val="Normal"/>
              <w:snapToGrid w:val="false"/>
              <w:rPr>
                <w:rFonts w:ascii="Arial" w:hAnsi="Arial" w:cs="Arial"/>
                <w:b/>
                <w:sz w:val="20"/>
              </w:rPr>
            </w:pPr>
            <w:r>
              <w:rPr>
                <w:rFonts w:cs="Arial" w:ascii="Arial" w:hAnsi="Arial"/>
                <w:b/>
                <w:sz w:val="20"/>
              </w:rPr>
            </w:r>
          </w:p>
        </w:tc>
      </w:tr>
    </w:tbl>
    <w:p>
      <w:pPr>
        <w:pStyle w:val="Normal"/>
        <w:pBdr>
          <w:bottom w:val="single" w:sz="18" w:space="1" w:color="000000"/>
        </w:pBdr>
        <w:tabs>
          <w:tab w:val="clear" w:pos="720"/>
          <w:tab w:val="left" w:pos="1344" w:leader="none"/>
          <w:tab w:val="left" w:pos="5106" w:leader="none"/>
          <w:tab w:val="left" w:pos="7254" w:leader="none"/>
        </w:tabs>
        <w:jc w:val="both"/>
        <w:rPr>
          <w:rFonts w:ascii="Arial" w:hAnsi="Arial" w:cs="Arial"/>
          <w:sz w:val="20"/>
        </w:rPr>
      </w:pPr>
      <w:r>
        <w:rPr>
          <w:rFonts w:cs="Arial" w:ascii="Arial" w:hAnsi="Arial"/>
          <w:sz w:val="20"/>
        </w:rPr>
      </w:r>
    </w:p>
    <w:p>
      <w:pPr>
        <w:pStyle w:val="BodyText"/>
        <w:rPr>
          <w:rFonts w:ascii="Arial" w:hAnsi="Arial" w:cs="Arial"/>
          <w:sz w:val="20"/>
        </w:rPr>
      </w:pPr>
      <w:r>
        <w:rPr>
          <w:rFonts w:cs="Arial"/>
          <w:sz w:val="20"/>
        </w:rPr>
      </w:r>
    </w:p>
    <w:p>
      <w:pPr>
        <w:pStyle w:val="BodyText"/>
        <w:rPr/>
      </w:pPr>
      <w:r>
        <w:rPr>
          <w:b/>
          <w:sz w:val="20"/>
        </w:rPr>
        <w:t>LEGAL RISK RATING:  2</w:t>
      </w:r>
      <w:r>
        <w:rPr>
          <w:sz w:val="20"/>
        </w:rPr>
        <w:t xml:space="preserve"> (1 being low risk, and 5 being high risk)</w:t>
      </w:r>
    </w:p>
    <w:p>
      <w:pPr>
        <w:pStyle w:val="BodyText"/>
        <w:rPr>
          <w:sz w:val="20"/>
        </w:rPr>
      </w:pPr>
      <w:r>
        <w:rPr>
          <w:sz w:val="20"/>
        </w:rPr>
      </w:r>
    </w:p>
    <w:p>
      <w:pPr>
        <w:pStyle w:val="BodyText"/>
        <w:rPr/>
      </w:pPr>
      <w:r>
        <w:rPr>
          <w:b/>
          <w:sz w:val="20"/>
        </w:rPr>
        <w:t>Project Description</w:t>
      </w:r>
      <w:r>
        <w:rPr>
          <w:sz w:val="20"/>
        </w:rPr>
        <w:t>:</w:t>
      </w:r>
    </w:p>
    <w:p>
      <w:pPr>
        <w:pStyle w:val="BodyText"/>
        <w:ind w:firstLine="360" w:end="0"/>
        <w:rPr>
          <w:sz w:val="20"/>
        </w:rPr>
      </w:pPr>
      <w:r>
        <w:rPr>
          <w:sz w:val="20"/>
        </w:rPr>
        <w:t xml:space="preserve">--ENA successful bidder on RFP from Public Service Co. of Colorado (PSCo) </w:t>
      </w:r>
    </w:p>
    <w:p>
      <w:pPr>
        <w:pStyle w:val="BodyText"/>
        <w:ind w:firstLine="360" w:end="0"/>
        <w:rPr>
          <w:sz w:val="20"/>
        </w:rPr>
      </w:pPr>
      <w:r>
        <w:rPr>
          <w:sz w:val="20"/>
        </w:rPr>
        <w:t>--Fountain Valley Power, L.L.C. formed as a project company to develop a 225 MW power plant consisting of 6 LM6000 CTs near Colorado Springs, CO, for commercial operation in summer 2001</w:t>
      </w:r>
    </w:p>
    <w:p>
      <w:pPr>
        <w:pStyle w:val="BodyText"/>
        <w:ind w:firstLine="360" w:end="0"/>
        <w:rPr>
          <w:sz w:val="20"/>
        </w:rPr>
      </w:pPr>
      <w:r>
        <w:rPr>
          <w:sz w:val="20"/>
        </w:rPr>
        <w:t xml:space="preserve">-- FVP proposes to enter into an 11-year power purchase agreement with PSCo for the off-take of the project. </w:t>
      </w:r>
    </w:p>
    <w:p>
      <w:pPr>
        <w:pStyle w:val="BodyText"/>
        <w:ind w:firstLine="360" w:end="0"/>
        <w:rPr>
          <w:sz w:val="20"/>
        </w:rPr>
      </w:pPr>
      <w:r>
        <w:rPr>
          <w:sz w:val="20"/>
        </w:rPr>
        <w:t xml:space="preserve">--The specific question presented is whether to execute this PPA.  </w:t>
      </w:r>
    </w:p>
    <w:p>
      <w:pPr>
        <w:pStyle w:val="BodyText"/>
        <w:ind w:firstLine="360" w:end="0"/>
        <w:rPr>
          <w:sz w:val="20"/>
        </w:rPr>
      </w:pPr>
      <w:r>
        <w:rPr>
          <w:sz w:val="20"/>
        </w:rPr>
      </w:r>
    </w:p>
    <w:p>
      <w:pPr>
        <w:pStyle w:val="BodyText"/>
        <w:rPr/>
      </w:pPr>
      <w:r>
        <w:rPr>
          <w:b/>
          <w:sz w:val="20"/>
        </w:rPr>
        <w:t>Summary of Risk</w:t>
      </w:r>
      <w:r>
        <w:rPr>
          <w:sz w:val="20"/>
        </w:rPr>
        <w:t>:</w:t>
      </w:r>
    </w:p>
    <w:p>
      <w:pPr>
        <w:pStyle w:val="BodyText"/>
        <w:rPr>
          <w:sz w:val="20"/>
        </w:rPr>
      </w:pPr>
      <w:r>
        <w:rPr>
          <w:rFonts w:eastAsia="Arial"/>
          <w:sz w:val="20"/>
        </w:rPr>
        <w:t xml:space="preserve">       </w:t>
      </w:r>
      <w:r>
        <w:rPr>
          <w:sz w:val="20"/>
        </w:rPr>
        <w:t>--Because of timing demanded by PSCo, driven by pressure from the Colorado PUC, we would be executing a contract for a firm commitment now, subject to conditions</w:t>
        <w:tab/>
      </w:r>
    </w:p>
    <w:p>
      <w:pPr>
        <w:pStyle w:val="BodyText"/>
        <w:ind w:firstLine="360" w:end="0"/>
        <w:rPr>
          <w:sz w:val="20"/>
        </w:rPr>
      </w:pPr>
      <w:r>
        <w:rPr>
          <w:sz w:val="20"/>
        </w:rPr>
        <w:t>--Those conditions precedent in the PPA include obtaining satisfactory results from due diligence review, obtaining required permits, and  Enron Board of Directors approval.</w:t>
      </w:r>
    </w:p>
    <w:p>
      <w:pPr>
        <w:pStyle w:val="BodyText2"/>
        <w:rPr/>
      </w:pPr>
      <w:r>
        <w:rPr>
          <w:rFonts w:eastAsia="Arial"/>
        </w:rPr>
        <w:t xml:space="preserve">       </w:t>
      </w:r>
      <w:r>
        <w:rPr/>
        <w:t>--ENA would be committing to spend $3-4 million dollars between date of PPA execution and December 1 due diligence date, while due diligence could reveal deal breaking problem</w:t>
      </w:r>
    </w:p>
    <w:p>
      <w:pPr>
        <w:pStyle w:val="Normal"/>
        <w:rPr>
          <w:rFonts w:ascii="Arial" w:hAnsi="Arial" w:eastAsia="Arial" w:cs="Arial"/>
          <w:sz w:val="20"/>
        </w:rPr>
      </w:pPr>
      <w:r>
        <w:rPr>
          <w:rFonts w:eastAsia="Arial" w:cs="Arial" w:ascii="Arial" w:hAnsi="Arial"/>
          <w:sz w:val="20"/>
        </w:rPr>
        <w:t xml:space="preserve"> </w:t>
      </w:r>
    </w:p>
    <w:p>
      <w:pPr>
        <w:pStyle w:val="Footer"/>
        <w:tabs>
          <w:tab w:val="clear" w:pos="4320"/>
          <w:tab w:val="clear" w:pos="8640"/>
        </w:tabs>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Executing the PPA as negotiated presents the following legal risks.</w:t>
      </w:r>
    </w:p>
    <w:p>
      <w:pPr>
        <w:pStyle w:val="Normal"/>
        <w:ind w:firstLine="36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1. Due Diligence.  FVP obligations contingent upon satisfactory completion of due diligence review by December 1, 2000.</w:t>
      </w:r>
    </w:p>
    <w:p>
      <w:pPr>
        <w:pStyle w:val="BodyTextIndent"/>
        <w:ind w:firstLine="720" w:start="0" w:end="0"/>
        <w:rPr>
          <w:rFonts w:ascii="Arial" w:hAnsi="Arial" w:cs="Arial"/>
        </w:rPr>
      </w:pPr>
      <w:r>
        <w:rPr>
          <w:rFonts w:cs="Arial" w:ascii="Arial" w:hAnsi="Arial"/>
        </w:rPr>
        <w:t xml:space="preserve">--at present, water, land, gas and electrical interconnection all have unresolved issues. </w:t>
      </w:r>
    </w:p>
    <w:p>
      <w:pPr>
        <w:pStyle w:val="BodyTextIndent"/>
        <w:ind w:firstLine="720" w:start="0" w:end="0"/>
        <w:rPr>
          <w:rFonts w:ascii="Arial" w:hAnsi="Arial" w:cs="Arial"/>
        </w:rPr>
      </w:pPr>
      <w:r>
        <w:rPr>
          <w:rFonts w:cs="Arial" w:ascii="Arial" w:hAnsi="Arial"/>
        </w:rPr>
        <w:t>--Water supply arrangements are especially problematical, with both physical and legal problems that may not be solvable at all or at a reasonable price.</w:t>
      </w:r>
    </w:p>
    <w:p>
      <w:pPr>
        <w:pStyle w:val="BodyTextIndent"/>
        <w:ind w:firstLine="720" w:start="0" w:end="0"/>
        <w:rPr>
          <w:rFonts w:ascii="Arial" w:hAnsi="Arial" w:cs="Arial"/>
        </w:rPr>
      </w:pPr>
      <w:r>
        <w:rPr>
          <w:rFonts w:cs="Arial" w:ascii="Arial" w:hAnsi="Arial"/>
        </w:rPr>
        <w:t xml:space="preserve">--Any of these issues may still be unresolved by December 1. </w:t>
      </w:r>
    </w:p>
    <w:p>
      <w:pPr>
        <w:pStyle w:val="BodyTextIndent"/>
        <w:ind w:firstLine="720" w:start="0" w:end="0"/>
        <w:rPr>
          <w:rFonts w:ascii="Arial" w:hAnsi="Arial" w:cs="Arial"/>
        </w:rPr>
      </w:pPr>
      <w:r>
        <w:rPr>
          <w:rFonts w:cs="Arial" w:ascii="Arial" w:hAnsi="Arial"/>
        </w:rPr>
        <w:t>--However, FVP has the right to notify PSCo by that date that due diligence has not been satisfied and FVP would thereby not be obligated to perform under the PPA</w:t>
      </w:r>
    </w:p>
    <w:p>
      <w:pPr>
        <w:pStyle w:val="BodyText"/>
        <w:rPr>
          <w:rFonts w:ascii="Arial" w:hAnsi="Arial" w:cs="Arial"/>
          <w:sz w:val="20"/>
        </w:rPr>
      </w:pPr>
      <w:r>
        <w:rPr>
          <w:rFonts w:cs="Arial"/>
          <w:sz w:val="20"/>
        </w:rPr>
      </w:r>
    </w:p>
    <w:p>
      <w:pPr>
        <w:pStyle w:val="BodyText"/>
        <w:numPr>
          <w:ilvl w:val="0"/>
          <w:numId w:val="3"/>
        </w:numPr>
        <w:tabs>
          <w:tab w:val="clear" w:pos="720"/>
          <w:tab w:val="left" w:pos="0" w:leader="none"/>
        </w:tabs>
        <w:ind w:hanging="0" w:start="0" w:end="0"/>
        <w:rPr>
          <w:sz w:val="20"/>
        </w:rPr>
      </w:pPr>
      <w:r>
        <w:rPr>
          <w:sz w:val="20"/>
        </w:rPr>
        <w:t xml:space="preserve">Regulatory termination and damages.  If FVP were to become regulated as a utility as a result of its ownership and operation of the plant, FVP could terminate the project.  </w:t>
      </w:r>
    </w:p>
    <w:p>
      <w:pPr>
        <w:pStyle w:val="BodyText"/>
        <w:ind w:firstLine="720" w:end="0"/>
        <w:rPr>
          <w:sz w:val="20"/>
        </w:rPr>
      </w:pPr>
      <w:r>
        <w:rPr>
          <w:sz w:val="20"/>
        </w:rPr>
        <w:t>--PSCo insists upon termination damages in that circumstance equal to net present value of PSCO’s projected gains, losses and transaction costs through the remaining contract term.</w:t>
      </w:r>
    </w:p>
    <w:p>
      <w:pPr>
        <w:pStyle w:val="BodyText"/>
        <w:ind w:firstLine="720" w:end="0"/>
        <w:rPr>
          <w:sz w:val="20"/>
        </w:rPr>
      </w:pPr>
      <w:r>
        <w:rPr>
          <w:sz w:val="20"/>
        </w:rPr>
        <w:t>--Before any such regulation as a utility became effective, however, ENA would have a reasonable amount of notice and could sell the project</w:t>
      </w:r>
    </w:p>
    <w:p>
      <w:pPr>
        <w:pStyle w:val="Normal"/>
        <w:rPr>
          <w:rFonts w:ascii="Arial" w:hAnsi="Arial" w:cs="Arial"/>
          <w:sz w:val="20"/>
        </w:rPr>
      </w:pPr>
      <w:r>
        <w:rPr>
          <w:rFonts w:cs="Arial" w:ascii="Arial" w:hAnsi="Arial"/>
          <w:sz w:val="20"/>
        </w:rPr>
      </w:r>
    </w:p>
    <w:p>
      <w:pPr>
        <w:pStyle w:val="BodyText"/>
        <w:rPr>
          <w:sz w:val="20"/>
        </w:rPr>
      </w:pPr>
      <w:r>
        <w:rPr>
          <w:sz w:val="20"/>
        </w:rPr>
        <w:t xml:space="preserve">3.   Security and Damages.  Damages payable by FVP are generally capped at $15.6 million.  However, certain categories of claims would not be subject to that cap.  </w:t>
      </w:r>
    </w:p>
    <w:p>
      <w:pPr>
        <w:pStyle w:val="BodyText"/>
        <w:ind w:firstLine="720" w:end="0"/>
        <w:rPr/>
      </w:pPr>
      <w:r>
        <w:rPr>
          <w:sz w:val="20"/>
        </w:rPr>
        <w:t>--</w:t>
      </w:r>
      <w:r>
        <w:rPr>
          <w:sz w:val="20"/>
          <w:u w:val="single"/>
        </w:rPr>
        <w:t>Separate caps</w:t>
      </w:r>
      <w:r>
        <w:rPr>
          <w:sz w:val="20"/>
        </w:rPr>
        <w:t>. Of these carve-outs, all but one would be subject to separate caps:</w:t>
      </w:r>
    </w:p>
    <w:p>
      <w:pPr>
        <w:pStyle w:val="BodyText"/>
        <w:numPr>
          <w:ilvl w:val="0"/>
          <w:numId w:val="4"/>
        </w:numPr>
        <w:rPr>
          <w:sz w:val="20"/>
        </w:rPr>
      </w:pPr>
      <w:r>
        <w:rPr>
          <w:sz w:val="20"/>
        </w:rPr>
        <w:t>Sale by FVP to a third party of the capacity and energy committed to PSCo under the contract (essentially an intentional diversion within our control), capped at $84 million.</w:t>
      </w:r>
    </w:p>
    <w:p>
      <w:pPr>
        <w:pStyle w:val="BodyText"/>
        <w:numPr>
          <w:ilvl w:val="0"/>
          <w:numId w:val="4"/>
        </w:numPr>
        <w:rPr>
          <w:sz w:val="20"/>
        </w:rPr>
      </w:pPr>
      <w:r>
        <w:rPr>
          <w:sz w:val="20"/>
        </w:rPr>
        <w:t>Failure by FVP to apply insurance to reconstruction of the plant following a casualty, capped at the amount of such insurance proceeds</w:t>
      </w:r>
    </w:p>
    <w:p>
      <w:pPr>
        <w:pStyle w:val="BodyText"/>
        <w:numPr>
          <w:ilvl w:val="0"/>
          <w:numId w:val="4"/>
        </w:numPr>
        <w:rPr>
          <w:sz w:val="20"/>
        </w:rPr>
      </w:pPr>
      <w:r>
        <w:rPr>
          <w:rFonts w:eastAsia="Arial"/>
          <w:sz w:val="20"/>
        </w:rPr>
        <w:t xml:space="preserve"> </w:t>
      </w:r>
      <w:r>
        <w:rPr>
          <w:sz w:val="20"/>
        </w:rPr>
        <w:t>Claim by PSCo for indemnification for a FVP breach of the separate interconnection services agreement with PSCo, capped at the amount of undepreciated balance of the cost of PSCo’s interconnection facilities</w:t>
      </w:r>
    </w:p>
    <w:p>
      <w:pPr>
        <w:pStyle w:val="BodyText"/>
        <w:numPr>
          <w:ilvl w:val="0"/>
          <w:numId w:val="4"/>
        </w:numPr>
        <w:rPr>
          <w:sz w:val="20"/>
        </w:rPr>
      </w:pPr>
      <w:r>
        <w:rPr>
          <w:sz w:val="20"/>
        </w:rPr>
        <w:t>Filing of involuntary bankruptcy petition against FVP, or voluntary petition by FVP, capped at $84 million</w:t>
      </w:r>
    </w:p>
    <w:p>
      <w:pPr>
        <w:pStyle w:val="BodyText"/>
        <w:rPr>
          <w:sz w:val="20"/>
        </w:rPr>
      </w:pPr>
      <w:r>
        <w:rPr>
          <w:sz w:val="20"/>
        </w:rPr>
      </w:r>
    </w:p>
    <w:p>
      <w:pPr>
        <w:pStyle w:val="BodyText"/>
        <w:rPr/>
      </w:pPr>
      <w:r>
        <w:rPr>
          <w:rFonts w:eastAsia="Arial"/>
          <w:sz w:val="20"/>
        </w:rPr>
        <w:t xml:space="preserve">               </w:t>
      </w:r>
      <w:r>
        <w:rPr>
          <w:sz w:val="20"/>
        </w:rPr>
        <w:t>--</w:t>
      </w:r>
      <w:r>
        <w:rPr>
          <w:sz w:val="20"/>
          <w:u w:val="single"/>
        </w:rPr>
        <w:t>Uncapped liability</w:t>
      </w:r>
      <w:r>
        <w:rPr>
          <w:sz w:val="20"/>
        </w:rPr>
        <w:t xml:space="preserve"> for claim by PSCo for indemnification for 1) a claim from a third party caused by FVP’s default under the PPA or the negligent or tortious acts or omissions of FVP, or 2) for environmental contamination arising from FVP’s ownership or operation of the project site. This is a greenfield site, and a CT project, so the environmental risk is knowable and manageable.</w:t>
      </w:r>
    </w:p>
    <w:p>
      <w:pPr>
        <w:pStyle w:val="BodyText"/>
        <w:ind w:start="720" w:end="0"/>
        <w:rPr>
          <w:sz w:val="20"/>
        </w:rPr>
      </w:pPr>
      <w:r>
        <w:rPr>
          <w:sz w:val="20"/>
        </w:rPr>
      </w:r>
    </w:p>
    <w:p>
      <w:pPr>
        <w:pStyle w:val="BodyText"/>
        <w:ind w:firstLine="720" w:end="0"/>
        <w:rPr/>
      </w:pPr>
      <w:r>
        <w:rPr>
          <w:sz w:val="20"/>
        </w:rPr>
        <w:t>--</w:t>
      </w:r>
      <w:r>
        <w:rPr>
          <w:sz w:val="20"/>
          <w:u w:val="single"/>
        </w:rPr>
        <w:t>Replenishment of security</w:t>
      </w:r>
      <w:r>
        <w:rPr>
          <w:sz w:val="20"/>
        </w:rPr>
        <w:t>. The security for these damages must be in one of the following forms, but FVP has the sole discretion to choose which form, and to switch among the forms at any time: 1) irrevocable standby letter of credit, 2) performance bond, or 3) corporate guarantee. Whichever form is chosen, however, the Security must be continuously replenished to the $15.6 million level whenever it has been drawn down to pay a claim.  Because of the replenishment requirement and the uncapped liability for third party and environmental claims, if the corporate guarantee form of security were chosen, Enron Corporation would be exposed to potentially unlimited liability. Further, if FVP has chosen to use the corporate guarantee form, and the credit rating of the parent falls below BBB-, FVP must convert the security to one of the other two forms within 30 days.</w:t>
      </w:r>
    </w:p>
    <w:p>
      <w:pPr>
        <w:pStyle w:val="BodyText"/>
        <w:rPr>
          <w:sz w:val="20"/>
        </w:rPr>
      </w:pPr>
      <w:r>
        <w:rPr>
          <w:sz w:val="20"/>
        </w:rPr>
      </w:r>
    </w:p>
    <w:p>
      <w:pPr>
        <w:pStyle w:val="BodyText2"/>
        <w:numPr>
          <w:ilvl w:val="0"/>
          <w:numId w:val="2"/>
        </w:numPr>
        <w:tabs>
          <w:tab w:val="clear" w:pos="720"/>
          <w:tab w:val="left" w:pos="0" w:leader="none"/>
        </w:tabs>
        <w:ind w:hanging="0" w:start="0" w:end="0"/>
        <w:jc w:val="both"/>
        <w:rPr/>
      </w:pPr>
      <w:r>
        <w:rPr/>
        <w:t xml:space="preserve">Enron Board approval.  PSCo is willing to execute the PPA, subject to Enron Board approval in order to get the contract before the Colorado PUC before Enron would otherwise be ready or willing to sign such a contract.  The condition was therefore inserted with understanding by PSCo that it was a crucial and real condition, not boilerplate.  </w:t>
      </w:r>
    </w:p>
    <w:p>
      <w:pPr>
        <w:pStyle w:val="BodyText2"/>
        <w:ind w:firstLine="720" w:end="0"/>
        <w:jc w:val="both"/>
        <w:rPr/>
      </w:pPr>
      <w:r>
        <w:rPr/>
        <w:t xml:space="preserve">--There is a chance that PSCo could challenge the Board’s exercise of its approval right as having not been done in a commercially reasonable manner.  </w:t>
      </w:r>
    </w:p>
    <w:p>
      <w:pPr>
        <w:pStyle w:val="BodyText2"/>
        <w:ind w:firstLine="720" w:end="0"/>
        <w:jc w:val="both"/>
        <w:rPr/>
      </w:pPr>
      <w:r>
        <w:rPr/>
        <w:t xml:space="preserve">--Possibility of such challenge occurring, or of its being successful, is minimized because the negotiating team has consistently pointed out that Board approval is a necessary step in Enron’s process and because the provision was inserted at the end of negotiations in direct response to PSCo’s request on timing of execution of the PPA.     </w:t>
      </w:r>
    </w:p>
    <w:p>
      <w:pPr>
        <w:pStyle w:val="BodyText2"/>
        <w:jc w:val="both"/>
        <w:rPr/>
      </w:pPr>
      <w:r>
        <w:rPr/>
      </w:r>
    </w:p>
    <w:p>
      <w:pPr>
        <w:pStyle w:val="BodyText"/>
        <w:rPr>
          <w:sz w:val="20"/>
        </w:rPr>
      </w:pPr>
      <w:r>
        <w:rPr>
          <w:sz w:val="20"/>
        </w:rPr>
        <w:t xml:space="preserve">5.  Delay Damages.  If FVP fails to meet the commercial operation date, it would pay delay damages of approximately $22-44,000 per day.    </w:t>
      </w:r>
    </w:p>
    <w:p>
      <w:pPr>
        <w:pStyle w:val="BodyText"/>
        <w:ind w:firstLine="720" w:end="0"/>
        <w:rPr>
          <w:sz w:val="20"/>
        </w:rPr>
      </w:pPr>
      <w:r>
        <w:rPr>
          <w:sz w:val="20"/>
        </w:rPr>
        <w:t xml:space="preserve">--There are no delay damages for failure to meet intermediate milestones.  </w:t>
      </w:r>
    </w:p>
    <w:p>
      <w:pPr>
        <w:pStyle w:val="BodyText"/>
        <w:ind w:firstLine="720" w:end="0"/>
        <w:rPr>
          <w:sz w:val="20"/>
        </w:rPr>
      </w:pPr>
      <w:r>
        <w:rPr>
          <w:sz w:val="20"/>
        </w:rPr>
        <w:t xml:space="preserve">--If FVP does not obtain necessary permits by January 31, 2001, that slips the commercial operation date day-for-day while permit approval slips.  No delay damages are owed in that circumstance.               </w:t>
      </w:r>
    </w:p>
    <w:p>
      <w:pPr>
        <w:pStyle w:val="BodyText"/>
        <w:ind w:firstLine="720" w:end="0"/>
        <w:rPr>
          <w:sz w:val="20"/>
        </w:rPr>
      </w:pPr>
      <w:r>
        <w:rPr>
          <w:sz w:val="20"/>
        </w:rPr>
        <w:t>--If permits are not obtained as of March 1, 2001, either party has the right to give notice to move the commercial operation date to the following year, May 1, 2002.  However, if permits still have not been obtained as of September 30, 2001, either party may declare the project terminated with no payment required to the other party.</w:t>
      </w:r>
    </w:p>
    <w:p>
      <w:pPr>
        <w:pStyle w:val="BodyText"/>
        <w:rPr>
          <w:sz w:val="20"/>
        </w:rPr>
      </w:pPr>
      <w:r>
        <w:rPr>
          <w:sz w:val="20"/>
        </w:rPr>
      </w:r>
    </w:p>
    <w:p>
      <w:pPr>
        <w:pStyle w:val="BodyText"/>
        <w:numPr>
          <w:ilvl w:val="0"/>
          <w:numId w:val="5"/>
        </w:numPr>
        <w:rPr>
          <w:sz w:val="20"/>
        </w:rPr>
      </w:pPr>
      <w:r>
        <w:rPr>
          <w:sz w:val="20"/>
        </w:rPr>
        <w:t xml:space="preserve">Colorado Law.  PSCo has insisted upon specifying that Colorado law governs the interpretation of the contract. </w:t>
      </w:r>
    </w:p>
    <w:p>
      <w:pPr>
        <w:pStyle w:val="BodyText"/>
        <w:ind w:firstLine="360" w:end="0"/>
        <w:rPr>
          <w:sz w:val="20"/>
        </w:rPr>
      </w:pPr>
      <w:r>
        <w:rPr>
          <w:sz w:val="20"/>
        </w:rPr>
        <w:t>--We are represented in this transaction by the Colorado (Denver) office of LeBeouf, Lamb, and there are no issues of contract law unique to Colorado that cause us concern.</w:t>
      </w:r>
    </w:p>
    <w:p>
      <w:pPr>
        <w:pStyle w:val="BodyText"/>
        <w:rPr>
          <w:sz w:val="20"/>
        </w:rPr>
      </w:pPr>
      <w:r>
        <w:rPr>
          <w:sz w:val="20"/>
        </w:rPr>
      </w:r>
    </w:p>
    <w:p>
      <w:pPr>
        <w:pStyle w:val="BodyText"/>
        <w:numPr>
          <w:ilvl w:val="0"/>
          <w:numId w:val="5"/>
        </w:numPr>
        <w:rPr>
          <w:sz w:val="20"/>
        </w:rPr>
      </w:pPr>
      <w:r>
        <w:rPr>
          <w:sz w:val="20"/>
        </w:rPr>
        <w:t xml:space="preserve">Assignment.  No consent from PSCo is required for FVP to assign the PPA to a “Qualified Entity”, which is defined by objective criteria as to size and experience in the industry.  </w:t>
      </w:r>
    </w:p>
    <w:p>
      <w:pPr>
        <w:pStyle w:val="BodyText"/>
        <w:ind w:firstLine="360" w:end="0"/>
        <w:rPr>
          <w:sz w:val="20"/>
        </w:rPr>
      </w:pPr>
      <w:r>
        <w:rPr>
          <w:sz w:val="20"/>
        </w:rPr>
        <w:t>--However, FVP does have to give 30 days advance notice of intent to assign, and PSCo could demand arbitration of this issue of whether the proposed assignee did in fact meet the objective criteria.</w:t>
      </w:r>
    </w:p>
    <w:p>
      <w:pPr>
        <w:pStyle w:val="BodyText"/>
        <w:rPr>
          <w:sz w:val="20"/>
        </w:rPr>
      </w:pPr>
      <w:r>
        <w:rPr>
          <w:sz w:val="20"/>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/mnt/main-storage/datasets/enron-docs/doc/Legal_Risk_Memo__PPA-0b6d268b0c7a4c2bf2b347674ce58c1b8c3a8f604df47425efb99cab44a401e8.doc</w:t>
    </w:r>
    <w:r>
      <w:rPr>
        <w:sz w:val="12"/>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lvl>
  </w:abstractNum>
  <w:abstractNum w:abstractNumId="3">
    <w:lvl w:ilvl="0">
      <w:start w:val="2"/>
      <w:numFmt w:val="decimal"/>
      <w:lvlText w:val="%1."/>
      <w:lvlJc w:val="start"/>
      <w:pPr>
        <w:tabs>
          <w:tab w:val="num" w:pos="360"/>
        </w:tabs>
        <w:ind w:start="360" w:hanging="36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6"/>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6030" w:end="0"/>
      <w:outlineLvl w:val="0"/>
    </w:pPr>
    <w:rPr>
      <w:rFonts w:ascii="Arial" w:hAnsi="Arial" w:cs="Arial"/>
      <w:b/>
      <w:sz w:val="30"/>
    </w:rPr>
  </w:style>
  <w:style w:type="paragraph" w:styleId="Heading2">
    <w:name w:val="heading 2"/>
    <w:basedOn w:val="Normal"/>
    <w:next w:val="Normal"/>
    <w:qFormat/>
    <w:pPr>
      <w:keepNext w:val="true"/>
      <w:numPr>
        <w:ilvl w:val="1"/>
        <w:numId w:val="1"/>
      </w:numPr>
      <w:ind w:hanging="0" w:start="4230" w:end="0"/>
      <w:outlineLvl w:val="1"/>
    </w:pPr>
    <w:rPr>
      <w:rFonts w:ascii="Arial" w:hAnsi="Arial" w:cs="Arial"/>
      <w:b/>
      <w:sz w:val="30"/>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end"/>
      <w:outlineLvl w:val="3"/>
    </w:pPr>
    <w:rPr>
      <w:b/>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rFonts w:ascii="Arial" w:hAnsi="Arial" w:cs="Arial"/>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sz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0"/>
    </w:rPr>
  </w:style>
  <w:style w:type="paragraph" w:styleId="BodyTextIndent">
    <w:name w:val="Body Text Indent"/>
    <w:basedOn w:val="Normal"/>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2000-09-20T18:30:00Z</dcterms:created>
  <dc:creator>robin jordan</dc:creator>
  <dc:description/>
  <dc:language>en-CA</dc:language>
  <cp:lastModifiedBy>alarsen2</cp:lastModifiedBy>
  <cp:lastPrinted>2000-10-10T15:03:00Z</cp:lastPrinted>
  <dcterms:modified xsi:type="dcterms:W3CDTF">2000-10-12T14:22:00Z</dcterms:modified>
  <cp:revision>10</cp:revision>
  <dc:subject/>
  <dc:title>  	</dc:title>
</cp:coreProperties>
</file>