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rFonts w:cs="Arial" w:ascii="Arial" w:hAnsi="Arial"/>
          <w:sz w:val="20"/>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sz w:val="20"/>
        </w:rPr>
        <w:t xml:space="preserve"> </w:t>
      </w:r>
      <w:r>
        <w:rPr>
          <w:rFonts w:cs="Arial" w:ascii="Arial" w:hAnsi="Arial"/>
          <w:b/>
          <w:sz w:val="20"/>
        </w:rPr>
        <w:tab/>
      </w:r>
    </w:p>
    <w:p>
      <w:pPr>
        <w:pStyle w:val="Normal"/>
        <w:tabs>
          <w:tab w:val="clear" w:pos="720"/>
          <w:tab w:val="right" w:pos="8640" w:leader="none"/>
        </w:tabs>
        <w:jc w:val="both"/>
        <w:rPr>
          <w:rFonts w:ascii="Arial" w:hAnsi="Arial" w:cs="Arial"/>
          <w:b/>
          <w:sz w:val="20"/>
        </w:rPr>
      </w:pPr>
      <w:r>
        <w:rPr>
          <w:rFonts w:cs="Arial" w:ascii="Arial" w:hAnsi="Arial"/>
          <w:b/>
          <w:sz w:val="20"/>
        </w:rPr>
        <w:t>Natural Gas,</w:t>
      </w:r>
    </w:p>
    <w:p>
      <w:pPr>
        <w:pStyle w:val="Normal"/>
        <w:tabs>
          <w:tab w:val="clear" w:pos="720"/>
          <w:tab w:val="right" w:pos="8640" w:leader="none"/>
        </w:tabs>
        <w:jc w:val="both"/>
        <w:rPr>
          <w:rFonts w:ascii="Arial" w:hAnsi="Arial" w:cs="Arial"/>
          <w:b/>
          <w:sz w:val="20"/>
        </w:rPr>
      </w:pPr>
      <w:r>
        <w:rPr>
          <w:rFonts w:cs="Arial" w:ascii="Arial" w:hAnsi="Arial"/>
          <w:b/>
          <w:sz w:val="20"/>
        </w:rPr>
        <w:t>Electricity and</w:t>
        <w:tab/>
      </w:r>
    </w:p>
    <w:p>
      <w:pPr>
        <w:pStyle w:val="Normal"/>
        <w:tabs>
          <w:tab w:val="clear" w:pos="720"/>
          <w:tab w:val="right" w:pos="8640" w:leader="none"/>
        </w:tabs>
        <w:jc w:val="both"/>
        <w:rPr>
          <w:rFonts w:ascii="Arial" w:hAnsi="Arial" w:cs="Arial"/>
          <w:b/>
          <w:sz w:val="20"/>
        </w:rPr>
      </w:pPr>
      <w:r>
        <w:rPr>
          <w:rFonts w:cs="Arial" w:ascii="Arial" w:hAnsi="Arial"/>
          <w:b/>
          <w:sz w:val="20"/>
        </w:rPr>
        <w:t>Endless Possibilities</w:t>
        <w:tab/>
      </w:r>
    </w:p>
    <w:p>
      <w:pPr>
        <w:pStyle w:val="Normal"/>
        <w:tabs>
          <w:tab w:val="clear" w:pos="720"/>
          <w:tab w:val="right" w:pos="8640" w:leader="none"/>
        </w:tabs>
        <w:jc w:val="both"/>
        <w:rPr>
          <w:rFonts w:ascii="Arial" w:hAnsi="Arial" w:cs="Arial"/>
          <w:b/>
          <w:sz w:val="20"/>
        </w:rPr>
      </w:pPr>
      <w:r>
        <w:rPr>
          <w:rFonts w:cs="Arial" w:ascii="Arial" w:hAnsi="Arial"/>
          <w:b/>
          <w:sz w:val="20"/>
        </w:rPr>
      </w:r>
    </w:p>
    <w:p>
      <w:pPr>
        <w:pStyle w:val="Heading1"/>
        <w:ind w:start="4230" w:end="0"/>
        <w:rPr>
          <w:sz w:val="28"/>
        </w:rPr>
      </w:pPr>
      <w:r>
        <w:rPr>
          <w:sz w:val="28"/>
        </w:rPr>
        <w:t>INTEROFFICE</w:t>
      </w:r>
    </w:p>
    <w:p>
      <w:pPr>
        <w:pStyle w:val="Heading2"/>
        <w:rPr>
          <w:sz w:val="28"/>
        </w:rPr>
      </w:pPr>
      <w:r>
        <w:rPr>
          <w:sz w:val="28"/>
        </w:rPr>
        <w:t>MEMORANDUM</w:t>
      </w:r>
    </w:p>
    <w:p>
      <w:pPr>
        <w:pStyle w:val="Footer"/>
        <w:tabs>
          <w:tab w:val="clear" w:pos="4320"/>
          <w:tab w:val="clear" w:pos="8640"/>
        </w:tabs>
        <w:rPr>
          <w:rFonts w:ascii="Arial" w:hAnsi="Arial" w:cs="Arial"/>
          <w:sz w:val="28"/>
        </w:rPr>
      </w:pPr>
      <w:r>
        <w:rPr>
          <w:rFonts w:cs="Arial" w:ascii="Arial" w:hAnsi="Arial"/>
          <w:sz w:val="28"/>
        </w:rPr>
      </w:r>
    </w:p>
    <w:p>
      <w:pPr>
        <w:pStyle w:val="Heading4"/>
        <w:ind w:hanging="0" w:start="0"/>
        <w:rPr>
          <w:rFonts w:ascii="Arial" w:hAnsi="Arial" w:cs="Arial"/>
          <w:sz w:val="20"/>
        </w:rPr>
      </w:pPr>
      <w:r>
        <w:rPr>
          <w:rFonts w:cs="Arial" w:ascii="Arial" w:hAnsi="Arial"/>
          <w:sz w:val="20"/>
        </w:rPr>
        <w:t>PRIVILEGED AND CONFIDENTIAL</w:t>
      </w:r>
    </w:p>
    <w:p>
      <w:pPr>
        <w:pStyle w:val="Normal"/>
        <w:jc w:val="end"/>
        <w:rPr>
          <w:rFonts w:ascii="Arial" w:hAnsi="Arial" w:cs="Arial"/>
          <w:b/>
          <w:sz w:val="20"/>
        </w:rPr>
      </w:pPr>
      <w:r>
        <w:rPr>
          <w:rFonts w:cs="Arial" w:ascii="Arial" w:hAnsi="Arial"/>
          <w:b/>
          <w:sz w:val="20"/>
        </w:rPr>
        <w:t>ATTORNEY WORK PRODUCT</w:t>
      </w:r>
    </w:p>
    <w:p>
      <w:pPr>
        <w:pStyle w:val="Normal"/>
        <w:tabs>
          <w:tab w:val="clear" w:pos="720"/>
          <w:tab w:val="right" w:pos="8640" w:leader="none"/>
        </w:tabs>
        <w:jc w:val="both"/>
        <w:rPr>
          <w:rFonts w:ascii="Arial" w:hAnsi="Arial" w:cs="Arial"/>
          <w:b/>
          <w:sz w:val="20"/>
        </w:rPr>
      </w:pPr>
      <w:r>
        <w:rPr>
          <w:rFonts w:cs="Arial" w:ascii="Arial" w:hAnsi="Arial"/>
          <w:b/>
          <w:sz w:val="20"/>
        </w:rPr>
      </w:r>
    </w:p>
    <w:tbl>
      <w:tblPr>
        <w:tblW w:w="9648" w:type="dxa"/>
        <w:jc w:val="start"/>
        <w:tblInd w:w="0" w:type="dxa"/>
        <w:tblLayout w:type="fixed"/>
        <w:tblCellMar>
          <w:top w:w="0" w:type="dxa"/>
          <w:start w:w="108" w:type="dxa"/>
          <w:bottom w:w="0" w:type="dxa"/>
          <w:end w:w="108" w:type="dxa"/>
        </w:tblCellMar>
      </w:tblPr>
      <w:tblGrid>
        <w:gridCol w:w="1569"/>
        <w:gridCol w:w="3762"/>
        <w:gridCol w:w="1673"/>
        <w:gridCol w:w="475"/>
        <w:gridCol w:w="279"/>
        <w:gridCol w:w="1890"/>
      </w:tblGrid>
      <w:tr>
        <w:trPr/>
        <w:tc>
          <w:tcPr>
            <w:tcW w:w="1569" w:type="dxa"/>
            <w:tcBorders/>
          </w:tcPr>
          <w:p>
            <w:pPr>
              <w:pStyle w:val="Normal"/>
              <w:rPr>
                <w:rFonts w:ascii="Arial" w:hAnsi="Arial" w:cs="Arial"/>
                <w:sz w:val="20"/>
              </w:rPr>
            </w:pPr>
            <w:r>
              <w:rPr>
                <w:rFonts w:cs="Arial" w:ascii="Arial" w:hAnsi="Arial"/>
                <w:b/>
                <w:sz w:val="20"/>
              </w:rPr>
              <w:t>TO:</w:t>
            </w:r>
          </w:p>
        </w:tc>
        <w:tc>
          <w:tcPr>
            <w:tcW w:w="3762" w:type="dxa"/>
            <w:tcBorders/>
          </w:tcPr>
          <w:p>
            <w:pPr>
              <w:pStyle w:val="Normal"/>
              <w:rPr>
                <w:rFonts w:ascii="Arial" w:hAnsi="Arial" w:cs="Arial"/>
                <w:sz w:val="20"/>
              </w:rPr>
            </w:pPr>
            <w:r>
              <w:rPr>
                <w:rFonts w:cs="Arial" w:ascii="Arial" w:hAnsi="Arial"/>
                <w:sz w:val="20"/>
              </w:rPr>
              <w:t>Mark Haedicke</w:t>
            </w:r>
          </w:p>
          <w:p>
            <w:pPr>
              <w:pStyle w:val="Normal"/>
              <w:rPr>
                <w:rFonts w:ascii="Arial" w:hAnsi="Arial" w:cs="Arial"/>
                <w:sz w:val="20"/>
              </w:rPr>
            </w:pPr>
            <w:r>
              <w:rPr>
                <w:rFonts w:cs="Arial" w:ascii="Arial" w:hAnsi="Arial"/>
                <w:sz w:val="20"/>
              </w:rPr>
              <w:t>Sheila Tweed</w:t>
            </w:r>
          </w:p>
          <w:p>
            <w:pPr>
              <w:pStyle w:val="Normal"/>
              <w:rPr>
                <w:rFonts w:ascii="Arial" w:hAnsi="Arial" w:cs="Arial"/>
                <w:sz w:val="20"/>
              </w:rPr>
            </w:pPr>
            <w:r>
              <w:rPr>
                <w:rFonts w:cs="Arial" w:ascii="Arial" w:hAnsi="Arial"/>
                <w:sz w:val="20"/>
              </w:rPr>
              <w:t>Chris Calger</w:t>
            </w:r>
          </w:p>
          <w:p>
            <w:pPr>
              <w:pStyle w:val="Normal"/>
              <w:rPr>
                <w:rFonts w:ascii="Arial" w:hAnsi="Arial" w:cs="Arial"/>
                <w:sz w:val="20"/>
              </w:rPr>
            </w:pPr>
            <w:r>
              <w:rPr>
                <w:rFonts w:cs="Arial" w:ascii="Arial" w:hAnsi="Arial"/>
                <w:sz w:val="20"/>
              </w:rPr>
              <w:t>Jake Thomas</w:t>
            </w:r>
          </w:p>
        </w:tc>
        <w:tc>
          <w:tcPr>
            <w:tcW w:w="2427" w:type="dxa"/>
            <w:gridSpan w:val="3"/>
            <w:tcBorders/>
          </w:tcPr>
          <w:p>
            <w:pPr>
              <w:pStyle w:val="Normal"/>
              <w:snapToGrid w:val="false"/>
              <w:rPr>
                <w:rFonts w:ascii="Arial" w:hAnsi="Arial" w:cs="Arial"/>
                <w:sz w:val="20"/>
              </w:rPr>
            </w:pPr>
            <w:r>
              <w:rPr>
                <w:rFonts w:cs="Arial" w:ascii="Arial" w:hAnsi="Arial"/>
                <w:sz w:val="20"/>
              </w:rPr>
            </w:r>
          </w:p>
        </w:tc>
        <w:tc>
          <w:tcPr>
            <w:tcW w:w="1890" w:type="dxa"/>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snapToGrid w:val="false"/>
              <w:rPr>
                <w:rFonts w:ascii="Arial" w:hAnsi="Arial" w:cs="Arial"/>
                <w:sz w:val="20"/>
              </w:rPr>
            </w:pPr>
            <w:r>
              <w:rPr>
                <w:rFonts w:cs="Arial" w:ascii="Arial" w:hAnsi="Arial"/>
                <w:sz w:val="20"/>
              </w:rPr>
            </w:r>
          </w:p>
        </w:tc>
        <w:tc>
          <w:tcPr>
            <w:tcW w:w="3762" w:type="dxa"/>
            <w:tcBorders/>
          </w:tcPr>
          <w:p>
            <w:pPr>
              <w:pStyle w:val="Normal"/>
              <w:snapToGrid w:val="false"/>
              <w:rPr>
                <w:rFonts w:ascii="Arial" w:hAnsi="Arial" w:cs="Arial"/>
                <w:sz w:val="20"/>
              </w:rPr>
            </w:pPr>
            <w:r>
              <w:rPr>
                <w:rFonts w:cs="Arial" w:ascii="Arial" w:hAnsi="Arial"/>
                <w:sz w:val="20"/>
              </w:rPr>
            </w:r>
          </w:p>
        </w:tc>
        <w:tc>
          <w:tcPr>
            <w:tcW w:w="2148" w:type="dxa"/>
            <w:gridSpan w:val="2"/>
            <w:tcBorders/>
          </w:tcPr>
          <w:p>
            <w:pPr>
              <w:pStyle w:val="Normal"/>
              <w:snapToGrid w:val="false"/>
              <w:rPr>
                <w:rFonts w:ascii="Arial" w:hAnsi="Arial" w:cs="Arial"/>
                <w:sz w:val="20"/>
              </w:rPr>
            </w:pPr>
            <w:r>
              <w:rPr>
                <w:rFonts w:cs="Arial" w:ascii="Arial" w:hAnsi="Arial"/>
                <w:sz w:val="20"/>
              </w:rPr>
            </w:r>
          </w:p>
        </w:tc>
        <w:tc>
          <w:tcPr>
            <w:tcW w:w="2169" w:type="dxa"/>
            <w:gridSpan w:val="2"/>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rPr>
                <w:rFonts w:ascii="Arial" w:hAnsi="Arial" w:cs="Arial"/>
                <w:sz w:val="20"/>
              </w:rPr>
            </w:pPr>
            <w:r>
              <w:rPr>
                <w:rFonts w:cs="Arial" w:ascii="Arial" w:hAnsi="Arial"/>
                <w:b/>
                <w:sz w:val="20"/>
              </w:rPr>
              <w:t>FROM:</w:t>
            </w:r>
          </w:p>
        </w:tc>
        <w:tc>
          <w:tcPr>
            <w:tcW w:w="3762" w:type="dxa"/>
            <w:tcBorders/>
          </w:tcPr>
          <w:p>
            <w:pPr>
              <w:pStyle w:val="Normal"/>
              <w:rPr>
                <w:rFonts w:ascii="Arial" w:hAnsi="Arial" w:cs="Arial"/>
                <w:sz w:val="20"/>
              </w:rPr>
            </w:pPr>
            <w:r>
              <w:rPr>
                <w:rFonts w:cs="Arial" w:ascii="Arial" w:hAnsi="Arial"/>
                <w:sz w:val="20"/>
              </w:rPr>
              <w:t>Alan S. Larsen</w:t>
            </w:r>
          </w:p>
        </w:tc>
        <w:tc>
          <w:tcPr>
            <w:tcW w:w="2148" w:type="dxa"/>
            <w:gridSpan w:val="2"/>
            <w:tcBorders/>
          </w:tcPr>
          <w:p>
            <w:pPr>
              <w:pStyle w:val="Normal"/>
              <w:rPr>
                <w:rFonts w:ascii="Arial" w:hAnsi="Arial" w:cs="Arial"/>
                <w:sz w:val="20"/>
              </w:rPr>
            </w:pPr>
            <w:r>
              <w:rPr>
                <w:rFonts w:cs="Arial" w:ascii="Arial" w:hAnsi="Arial"/>
                <w:b/>
                <w:sz w:val="20"/>
              </w:rPr>
              <w:t>DEPARTMENT:</w:t>
            </w:r>
          </w:p>
        </w:tc>
        <w:tc>
          <w:tcPr>
            <w:tcW w:w="2169" w:type="dxa"/>
            <w:gridSpan w:val="2"/>
            <w:tcBorders/>
          </w:tcPr>
          <w:p>
            <w:pPr>
              <w:pStyle w:val="Normal"/>
              <w:rPr>
                <w:rFonts w:ascii="Arial" w:hAnsi="Arial" w:cs="Arial"/>
                <w:sz w:val="20"/>
              </w:rPr>
            </w:pPr>
            <w:r>
              <w:rPr>
                <w:rFonts w:cs="Arial" w:ascii="Arial" w:hAnsi="Arial"/>
                <w:sz w:val="20"/>
              </w:rPr>
              <w:t>ENA Legal – Portland</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2148" w:type="dxa"/>
            <w:gridSpan w:val="2"/>
            <w:tcBorders/>
          </w:tcPr>
          <w:p>
            <w:pPr>
              <w:pStyle w:val="Normal"/>
              <w:snapToGrid w:val="false"/>
              <w:rPr>
                <w:rFonts w:ascii="Arial" w:hAnsi="Arial" w:cs="Arial"/>
                <w:b/>
                <w:sz w:val="20"/>
              </w:rPr>
            </w:pPr>
            <w:r>
              <w:rPr>
                <w:rFonts w:cs="Arial" w:ascii="Arial" w:hAnsi="Arial"/>
                <w:b/>
                <w:sz w:val="20"/>
              </w:rPr>
            </w:r>
          </w:p>
        </w:tc>
        <w:tc>
          <w:tcPr>
            <w:tcW w:w="2169" w:type="dxa"/>
            <w:gridSpan w:val="2"/>
            <w:tcBorders/>
          </w:tcPr>
          <w:p>
            <w:pPr>
              <w:pStyle w:val="Normal"/>
              <w:snapToGrid w:val="false"/>
              <w:rPr>
                <w:rFonts w:ascii="Arial" w:hAnsi="Arial" w:cs="Arial"/>
                <w:b/>
                <w:sz w:val="20"/>
              </w:rPr>
            </w:pPr>
            <w:r>
              <w:rPr>
                <w:rFonts w:cs="Arial" w:ascii="Arial" w:hAnsi="Arial"/>
                <w:b/>
                <w:sz w:val="20"/>
              </w:rPr>
            </w:r>
          </w:p>
        </w:tc>
      </w:tr>
      <w:tr>
        <w:trPr/>
        <w:tc>
          <w:tcPr>
            <w:tcW w:w="1569" w:type="dxa"/>
            <w:tcBorders/>
          </w:tcPr>
          <w:p>
            <w:pPr>
              <w:pStyle w:val="Normal"/>
              <w:rPr>
                <w:rFonts w:ascii="Arial" w:hAnsi="Arial" w:cs="Arial"/>
                <w:sz w:val="20"/>
              </w:rPr>
            </w:pPr>
            <w:r>
              <w:rPr>
                <w:rFonts w:cs="Arial" w:ascii="Arial" w:hAnsi="Arial"/>
                <w:b/>
                <w:sz w:val="20"/>
              </w:rPr>
              <w:t>SUBJECT:</w:t>
            </w:r>
          </w:p>
        </w:tc>
        <w:tc>
          <w:tcPr>
            <w:tcW w:w="3762" w:type="dxa"/>
            <w:tcBorders/>
          </w:tcPr>
          <w:p>
            <w:pPr>
              <w:pStyle w:val="Normal"/>
              <w:rPr>
                <w:rFonts w:ascii="Arial" w:hAnsi="Arial" w:cs="Arial"/>
                <w:sz w:val="20"/>
              </w:rPr>
            </w:pPr>
            <w:r>
              <w:rPr>
                <w:rFonts w:cs="Arial" w:ascii="Arial" w:hAnsi="Arial"/>
                <w:sz w:val="20"/>
              </w:rPr>
              <w:t>Legal Risks:  Fountain Valley Power Development</w:t>
            </w:r>
          </w:p>
        </w:tc>
        <w:tc>
          <w:tcPr>
            <w:tcW w:w="1673" w:type="dxa"/>
            <w:tcBorders/>
          </w:tcPr>
          <w:p>
            <w:pPr>
              <w:pStyle w:val="Normal"/>
              <w:rPr>
                <w:rFonts w:ascii="Arial" w:hAnsi="Arial" w:cs="Arial"/>
                <w:sz w:val="20"/>
              </w:rPr>
            </w:pPr>
            <w:r>
              <w:rPr>
                <w:rFonts w:cs="Arial" w:ascii="Arial" w:hAnsi="Arial"/>
                <w:b/>
                <w:sz w:val="20"/>
              </w:rPr>
              <w:t>DATE:</w:t>
            </w:r>
          </w:p>
        </w:tc>
        <w:tc>
          <w:tcPr>
            <w:tcW w:w="2644" w:type="dxa"/>
            <w:gridSpan w:val="3"/>
            <w:tcBorders/>
          </w:tcPr>
          <w:p>
            <w:pPr>
              <w:pStyle w:val="Normal"/>
              <w:rPr>
                <w:rFonts w:ascii="Arial" w:hAnsi="Arial" w:cs="Arial"/>
                <w:sz w:val="20"/>
              </w:rPr>
            </w:pPr>
            <w:r>
              <w:rPr>
                <w:rFonts w:cs="Arial" w:ascii="Arial" w:hAnsi="Arial"/>
                <w:sz w:val="20"/>
              </w:rPr>
              <w:t>November 30, 2000</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1673" w:type="dxa"/>
            <w:tcBorders/>
          </w:tcPr>
          <w:p>
            <w:pPr>
              <w:pStyle w:val="Normal"/>
              <w:snapToGrid w:val="false"/>
              <w:rPr>
                <w:rFonts w:ascii="Arial" w:hAnsi="Arial" w:cs="Arial"/>
                <w:b/>
                <w:sz w:val="20"/>
              </w:rPr>
            </w:pPr>
            <w:r>
              <w:rPr>
                <w:rFonts w:cs="Arial" w:ascii="Arial" w:hAnsi="Arial"/>
                <w:b/>
                <w:sz w:val="20"/>
              </w:rPr>
            </w:r>
          </w:p>
        </w:tc>
        <w:tc>
          <w:tcPr>
            <w:tcW w:w="2644" w:type="dxa"/>
            <w:gridSpan w:val="3"/>
            <w:tcBorders/>
          </w:tcPr>
          <w:p>
            <w:pPr>
              <w:pStyle w:val="Normal"/>
              <w:snapToGrid w:val="false"/>
              <w:rPr>
                <w:rFonts w:ascii="Arial" w:hAnsi="Arial" w:cs="Arial"/>
                <w:b/>
                <w:sz w:val="20"/>
              </w:rPr>
            </w:pPr>
            <w:r>
              <w:rPr>
                <w:rFonts w:cs="Arial" w:ascii="Arial" w:hAnsi="Arial"/>
                <w:b/>
                <w:sz w:val="20"/>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Arial" w:hAnsi="Arial" w:cs="Arial"/>
          <w:sz w:val="20"/>
        </w:rPr>
      </w:pPr>
      <w:r>
        <w:rPr>
          <w:rFonts w:cs="Arial" w:ascii="Arial" w:hAnsi="Arial"/>
          <w:sz w:val="20"/>
        </w:rPr>
      </w:r>
    </w:p>
    <w:p>
      <w:pPr>
        <w:pStyle w:val="BodyText"/>
        <w:rPr>
          <w:rFonts w:ascii="Arial" w:hAnsi="Arial" w:cs="Arial"/>
          <w:sz w:val="20"/>
        </w:rPr>
      </w:pPr>
      <w:r>
        <w:rPr>
          <w:rFonts w:cs="Arial"/>
          <w:sz w:val="20"/>
        </w:rPr>
      </w:r>
    </w:p>
    <w:p>
      <w:pPr>
        <w:pStyle w:val="BodyText"/>
        <w:rPr/>
      </w:pPr>
      <w:r>
        <w:rPr>
          <w:b/>
          <w:sz w:val="20"/>
        </w:rPr>
        <w:t>LEGAL RISK RATING:  1</w:t>
      </w:r>
      <w:r>
        <w:rPr>
          <w:sz w:val="20"/>
        </w:rPr>
        <w:t xml:space="preserve"> (1 being low risk, and 5 being high risk)</w:t>
      </w:r>
    </w:p>
    <w:p>
      <w:pPr>
        <w:pStyle w:val="BodyText"/>
        <w:rPr>
          <w:sz w:val="20"/>
        </w:rPr>
      </w:pPr>
      <w:r>
        <w:rPr>
          <w:sz w:val="20"/>
        </w:rPr>
      </w:r>
    </w:p>
    <w:p>
      <w:pPr>
        <w:pStyle w:val="BodyText"/>
        <w:rPr/>
      </w:pPr>
      <w:r>
        <w:rPr>
          <w:b/>
          <w:sz w:val="20"/>
        </w:rPr>
        <w:t>Project Description</w:t>
      </w:r>
      <w:r>
        <w:rPr>
          <w:sz w:val="20"/>
        </w:rPr>
        <w:t>:</w:t>
      </w:r>
    </w:p>
    <w:p>
      <w:pPr>
        <w:pStyle w:val="BodyText"/>
        <w:ind w:firstLine="360" w:end="0"/>
        <w:rPr>
          <w:sz w:val="20"/>
        </w:rPr>
      </w:pPr>
      <w:r>
        <w:rPr>
          <w:sz w:val="20"/>
        </w:rPr>
        <w:t xml:space="preserve">This project previously received DASh approval on November 1, 2000 for $3.0 million to pay for initial development costs for a 240 MW natural gas-fired merchant plant facility to be located near Colorado Springs, Colorado.  This DASh seeks approval for the entire project, with exposure up to $174.6 million.  The legal risks under this DASh are the same as those covered under my attached legal risk memorandum for the 11/01/00 DASh, with the following exceptions. </w:t>
      </w:r>
    </w:p>
    <w:p>
      <w:pPr>
        <w:pStyle w:val="BodyText"/>
        <w:ind w:firstLine="360" w:end="0"/>
        <w:rPr>
          <w:sz w:val="20"/>
        </w:rPr>
      </w:pPr>
      <w:r>
        <w:rPr>
          <w:sz w:val="20"/>
        </w:rPr>
      </w:r>
    </w:p>
    <w:p>
      <w:pPr>
        <w:pStyle w:val="BodyText"/>
        <w:rPr/>
      </w:pPr>
      <w:r>
        <w:rPr>
          <w:b/>
          <w:sz w:val="20"/>
        </w:rPr>
        <w:t>Additional Legal Risks</w:t>
      </w:r>
      <w:r>
        <w:rPr>
          <w:sz w:val="20"/>
        </w:rPr>
        <w:t>:</w:t>
      </w:r>
    </w:p>
    <w:p>
      <w:pPr>
        <w:pStyle w:val="BodyText"/>
        <w:rPr>
          <w:sz w:val="20"/>
        </w:rPr>
      </w:pPr>
      <w:r>
        <w:rPr>
          <w:sz w:val="20"/>
        </w:rPr>
      </w:r>
    </w:p>
    <w:p>
      <w:pPr>
        <w:pStyle w:val="BodyText"/>
        <w:numPr>
          <w:ilvl w:val="0"/>
          <w:numId w:val="5"/>
        </w:numPr>
        <w:rPr>
          <w:sz w:val="20"/>
        </w:rPr>
      </w:pPr>
      <w:r>
        <w:rPr>
          <w:sz w:val="20"/>
        </w:rPr>
        <w:t xml:space="preserve">PPA Amendment.  Today ENA executed several amendments to the October 17, 2000 power purchase agreement with Public Service of Colorado (PSCo).  </w:t>
      </w:r>
    </w:p>
    <w:p>
      <w:pPr>
        <w:pStyle w:val="BodyText"/>
        <w:numPr>
          <w:ilvl w:val="0"/>
          <w:numId w:val="4"/>
        </w:numPr>
        <w:rPr>
          <w:sz w:val="20"/>
        </w:rPr>
      </w:pPr>
      <w:r>
        <w:rPr>
          <w:sz w:val="20"/>
        </w:rPr>
        <w:t>The exercise date for ENA’s internal approval condition precedent (exercisable by either management or the Enron Corp. Board) is moved from December 1 to December 12.  Further, this internal approval may be conditioned upon having obtained the following additional approvals by December 15: zoning and special use permit approval from the local county commission, and affirmative indication by the Colorado PUC of their likely approval of the PSCo integrated resource plan and the ENA contract.</w:t>
      </w:r>
    </w:p>
    <w:p>
      <w:pPr>
        <w:pStyle w:val="BodyText"/>
        <w:ind w:start="375" w:end="0"/>
        <w:rPr>
          <w:sz w:val="20"/>
        </w:rPr>
      </w:pPr>
      <w:r>
        <w:rPr>
          <w:sz w:val="20"/>
        </w:rPr>
      </w:r>
    </w:p>
    <w:p>
      <w:pPr>
        <w:pStyle w:val="BodyText"/>
        <w:numPr>
          <w:ilvl w:val="0"/>
          <w:numId w:val="4"/>
        </w:numPr>
        <w:rPr>
          <w:sz w:val="20"/>
        </w:rPr>
      </w:pPr>
      <w:r>
        <w:rPr>
          <w:sz w:val="20"/>
        </w:rPr>
        <w:t xml:space="preserve">The parties have clarified that any limitation of availability of the plant due to the terms of the air emission permit does not reduce the capacity payments from PSCo to the project, </w:t>
      </w:r>
      <w:r>
        <w:rPr>
          <w:sz w:val="20"/>
          <w:u w:val="single"/>
        </w:rPr>
        <w:t>provided</w:t>
      </w:r>
      <w:r>
        <w:rPr>
          <w:sz w:val="20"/>
        </w:rPr>
        <w:t xml:space="preserve"> that ENA obtains an amendment to the existing air permit, raising the allowable gas consumption for the plant from 4.5 billion to 5 billion cubic feet annually.  The State of Colorado has told ENA that it will agree to such an amendment, and will be able to issue the amendment prior to the new December 12 management/ Board approval date.</w:t>
      </w:r>
    </w:p>
    <w:p>
      <w:pPr>
        <w:pStyle w:val="BodyText"/>
        <w:rPr>
          <w:sz w:val="20"/>
        </w:rPr>
      </w:pPr>
      <w:r>
        <w:rPr>
          <w:sz w:val="20"/>
        </w:rPr>
      </w:r>
    </w:p>
    <w:p>
      <w:pPr>
        <w:pStyle w:val="BodyText"/>
        <w:ind w:start="375" w:end="0"/>
        <w:rPr>
          <w:sz w:val="20"/>
        </w:rPr>
      </w:pPr>
      <w:r>
        <w:rPr>
          <w:sz w:val="20"/>
        </w:rPr>
      </w:r>
    </w:p>
    <w:p>
      <w:pPr>
        <w:pStyle w:val="BodyText"/>
        <w:numPr>
          <w:ilvl w:val="0"/>
          <w:numId w:val="5"/>
        </w:numPr>
        <w:rPr>
          <w:sz w:val="20"/>
        </w:rPr>
      </w:pPr>
      <w:r>
        <w:rPr>
          <w:sz w:val="20"/>
        </w:rPr>
        <w:t>With these amendments to the PPA, there are now several different dates upon which various rights expire:</w:t>
      </w:r>
    </w:p>
    <w:p>
      <w:pPr>
        <w:pStyle w:val="BodyText"/>
        <w:ind w:start="720" w:end="0"/>
        <w:rPr>
          <w:sz w:val="20"/>
        </w:rPr>
      </w:pPr>
      <w:r>
        <w:rPr>
          <w:sz w:val="20"/>
        </w:rPr>
        <w:t>December 1: Remains the expiration date for exercizing ENA’s due diliegnce condition precedent.</w:t>
      </w:r>
    </w:p>
    <w:p>
      <w:pPr>
        <w:pStyle w:val="BodyText"/>
        <w:ind w:start="720" w:end="0"/>
        <w:rPr>
          <w:sz w:val="20"/>
        </w:rPr>
      </w:pPr>
      <w:r>
        <w:rPr>
          <w:sz w:val="20"/>
        </w:rPr>
        <w:t>December 12: the date for exercizing or waiving the internal approval condition precedent, exercizable either by management or the Enron Board.  This condition can be invoked upon “such criteria as may be deemed appropriate by such governing bodies”.</w:t>
      </w:r>
    </w:p>
    <w:p>
      <w:pPr>
        <w:pStyle w:val="BodyText"/>
        <w:ind w:start="720" w:end="0"/>
        <w:rPr>
          <w:sz w:val="20"/>
        </w:rPr>
      </w:pPr>
      <w:r>
        <w:rPr>
          <w:sz w:val="20"/>
        </w:rPr>
        <w:t>December 15: the date for exercizing or waiving the two conditions that may be attached to the management or Board approval.</w:t>
      </w:r>
    </w:p>
    <w:p>
      <w:pPr>
        <w:pStyle w:val="BodyText"/>
        <w:ind w:start="720" w:end="0"/>
        <w:rPr>
          <w:sz w:val="20"/>
        </w:rPr>
      </w:pPr>
      <w:r>
        <w:rPr>
          <w:sz w:val="20"/>
        </w:rPr>
        <w:t>December 21: this remains the date until which PSCo retains the right to terminate the contract due to failure to obtain CPUC approval for the IRP or the Fountain Valley power purchase agreement.</w:t>
      </w:r>
    </w:p>
    <w:p>
      <w:pPr>
        <w:pStyle w:val="BodyText"/>
        <w:rPr/>
      </w:pPr>
      <w:r>
        <w:rPr>
          <w:sz w:val="20"/>
        </w:rPr>
        <w:t>While the “off-ramp” dates for the two parties are much more closely syncronized than they were before the above PPA amendments were adopted, there is still a mismatch in dates that creates risk with regard to the respective rights of the parties.  ENA could waive the last of its rights to terminate the PPA as of December 15, and PSCo would still be able to terminate the PPA until December 21, but solely on the basis of failure to obtain CPUC approval.  This risk is mitigated in several respects. First is the fact that the current schedule of the CPUC would have a preliminary decision rendered in open meeting on December 12, so ENA and PSCo would both likely know the outcome of the PUC deliberation before either of their respective off-ramp dates arrive.  Next, while ENA is theoretically exposed to additional development spending between December 15 and December 21, as a practical matter ENA can manage its obligations so that it does not incur any additional expense during that period.  Finally, if PSCo does not waive its PUC approval condition by December 12, ENA gains the right to slip its required completion date for the 5</w:t>
      </w:r>
      <w:r>
        <w:rPr>
          <w:sz w:val="20"/>
          <w:vertAlign w:val="superscript"/>
        </w:rPr>
        <w:t>th</w:t>
      </w:r>
      <w:r>
        <w:rPr>
          <w:sz w:val="20"/>
        </w:rPr>
        <w:t xml:space="preserve"> and 6</w:t>
      </w:r>
      <w:r>
        <w:rPr>
          <w:sz w:val="20"/>
          <w:vertAlign w:val="superscript"/>
        </w:rPr>
        <w:t>th</w:t>
      </w:r>
      <w:r>
        <w:rPr>
          <w:sz w:val="20"/>
        </w:rPr>
        <w:t xml:space="preserve"> units of the project day-for-day until the December 21 final date for PSCo satisfying or waiving the CPUC approval condition.</w:t>
      </w:r>
    </w:p>
    <w:p>
      <w:pPr>
        <w:pStyle w:val="BodyText"/>
        <w:ind w:start="720" w:end="0"/>
        <w:rPr>
          <w:sz w:val="20"/>
        </w:rPr>
      </w:pPr>
      <w:r>
        <w:rPr>
          <w:sz w:val="20"/>
        </w:rPr>
      </w:r>
    </w:p>
    <w:p>
      <w:pPr>
        <w:pStyle w:val="BodyText"/>
        <w:ind w:start="720" w:end="0"/>
        <w:rPr>
          <w:rFonts w:eastAsia="Arial"/>
          <w:sz w:val="20"/>
        </w:rPr>
      </w:pPr>
      <w:r>
        <w:rPr>
          <w:rFonts w:eastAsia="Arial"/>
          <w:sz w:val="20"/>
        </w:rPr>
        <w:t xml:space="preserve"> </w:t>
      </w:r>
    </w:p>
    <w:p>
      <w:pPr>
        <w:pStyle w:val="BodyText"/>
        <w:numPr>
          <w:ilvl w:val="0"/>
          <w:numId w:val="5"/>
        </w:numPr>
        <w:tabs>
          <w:tab w:val="clear" w:pos="720"/>
          <w:tab w:val="left" w:pos="0" w:leader="none"/>
        </w:tabs>
        <w:ind w:hanging="0" w:start="0" w:end="0"/>
        <w:rPr>
          <w:sz w:val="20"/>
        </w:rPr>
      </w:pPr>
      <w:r>
        <w:rPr>
          <w:sz w:val="20"/>
        </w:rPr>
        <w:t>Water Supply.  FVP has not yet secured a commitment for supply of water for the project.  However, FVP has negotiated in principle an option agreement with Comanche Resources that would provide the necessary water to operate the plant.  It is anticipated that this option agreement will be executed by early next week.  We have obtained a legal opinion from Colorado-based water counsel regarding the risk of performance by Comanche of the obligations that Comanche would undertake pursuant to the option agreement.  It will be known by the December 12 management/ Board approval date whether this agreement has been executed.  If it has, there is very little risk regarding water supply.  If it has not, other arrangements should be identified before Board or management approval is given.</w:t>
      </w:r>
    </w:p>
    <w:p>
      <w:pPr>
        <w:pStyle w:val="BodyText"/>
        <w:rPr>
          <w:sz w:val="20"/>
        </w:rPr>
      </w:pPr>
      <w:r>
        <w:rPr>
          <w:sz w:val="20"/>
        </w:rPr>
      </w:r>
    </w:p>
    <w:p>
      <w:pPr>
        <w:pStyle w:val="BodyText"/>
        <w:numPr>
          <w:ilvl w:val="0"/>
          <w:numId w:val="5"/>
        </w:numPr>
        <w:rPr>
          <w:sz w:val="20"/>
        </w:rPr>
      </w:pPr>
      <w:r>
        <w:rPr>
          <w:sz w:val="20"/>
        </w:rPr>
        <w:t>Gas Right-of-Way.  The project requires construction of a short lateral connection to the natural gas pipeline.  FVP has not yet secured right-of-way easements for such a line.  The deal team is in negotiation with all land owners for easements over a preferred route. If for some reason any of the land owners object to granting an easement, FVP has discussed alternative arrangements, including use of a right-of-way held by Colorado Springs Utilities.  It is likely that FVP will have agreement in principle with all land owners, and perhaps executed easements with them, prior to the December 12 management/ Board approval date.  If not, other arrangements should be identified before Board or management approval is given.</w:t>
      </w:r>
    </w:p>
    <w:p>
      <w:pPr>
        <w:pStyle w:val="BodyText"/>
        <w:rPr>
          <w:sz w:val="20"/>
        </w:rPr>
      </w:pPr>
      <w:r>
        <w:rPr>
          <w:sz w:val="20"/>
        </w:rPr>
      </w:r>
      <w:r>
        <w:br w:type="page"/>
      </w:r>
    </w:p>
    <w:p>
      <w:pPr>
        <w:pStyle w:val="Normal"/>
        <w:tabs>
          <w:tab w:val="clear" w:pos="720"/>
          <w:tab w:val="right" w:pos="8640" w:leader="none"/>
        </w:tabs>
        <w:jc w:val="both"/>
        <w:rPr/>
      </w:pPr>
      <w:r>
        <w:rPr>
          <w:rFonts w:cs="Arial" w:ascii="Arial" w:hAnsi="Arial"/>
          <w:sz w:val="20"/>
        </w:rPr>
        <w:drawing>
          <wp:inline distT="0" distB="0" distL="0" distR="0">
            <wp:extent cx="941705" cy="9353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sz w:val="20"/>
        </w:rPr>
        <w:t xml:space="preserve"> </w:t>
      </w:r>
      <w:r>
        <w:rPr>
          <w:rFonts w:cs="Arial" w:ascii="Arial" w:hAnsi="Arial"/>
          <w:b/>
          <w:sz w:val="20"/>
        </w:rPr>
        <w:tab/>
      </w:r>
    </w:p>
    <w:p>
      <w:pPr>
        <w:pStyle w:val="Normal"/>
        <w:tabs>
          <w:tab w:val="clear" w:pos="720"/>
          <w:tab w:val="right" w:pos="8640" w:leader="none"/>
        </w:tabs>
        <w:jc w:val="both"/>
        <w:rPr>
          <w:rFonts w:ascii="Arial" w:hAnsi="Arial" w:cs="Arial"/>
          <w:b/>
          <w:sz w:val="20"/>
        </w:rPr>
      </w:pPr>
      <w:r>
        <w:rPr>
          <w:rFonts w:cs="Arial" w:ascii="Arial" w:hAnsi="Arial"/>
          <w:b/>
          <w:sz w:val="20"/>
        </w:rPr>
        <w:t>Natural Gas,</w:t>
      </w:r>
    </w:p>
    <w:p>
      <w:pPr>
        <w:pStyle w:val="Normal"/>
        <w:tabs>
          <w:tab w:val="clear" w:pos="720"/>
          <w:tab w:val="right" w:pos="8640" w:leader="none"/>
        </w:tabs>
        <w:jc w:val="both"/>
        <w:rPr>
          <w:rFonts w:ascii="Arial" w:hAnsi="Arial" w:cs="Arial"/>
          <w:b/>
          <w:sz w:val="20"/>
        </w:rPr>
      </w:pPr>
      <w:r>
        <w:rPr>
          <w:rFonts w:cs="Arial" w:ascii="Arial" w:hAnsi="Arial"/>
          <w:b/>
          <w:sz w:val="20"/>
        </w:rPr>
        <w:t>Electricity and</w:t>
        <w:tab/>
      </w:r>
    </w:p>
    <w:p>
      <w:pPr>
        <w:pStyle w:val="Normal"/>
        <w:tabs>
          <w:tab w:val="clear" w:pos="720"/>
          <w:tab w:val="right" w:pos="8640" w:leader="none"/>
        </w:tabs>
        <w:jc w:val="both"/>
        <w:rPr>
          <w:rFonts w:ascii="Arial" w:hAnsi="Arial" w:cs="Arial"/>
          <w:b/>
          <w:sz w:val="20"/>
        </w:rPr>
      </w:pPr>
      <w:r>
        <w:rPr>
          <w:rFonts w:cs="Arial" w:ascii="Arial" w:hAnsi="Arial"/>
          <w:b/>
          <w:sz w:val="20"/>
        </w:rPr>
        <w:t>Endless Possibilities</w:t>
        <w:tab/>
      </w:r>
    </w:p>
    <w:p>
      <w:pPr>
        <w:pStyle w:val="Normal"/>
        <w:tabs>
          <w:tab w:val="clear" w:pos="720"/>
          <w:tab w:val="right" w:pos="8640" w:leader="none"/>
        </w:tabs>
        <w:jc w:val="both"/>
        <w:rPr>
          <w:rFonts w:ascii="Arial" w:hAnsi="Arial" w:cs="Arial"/>
          <w:b/>
          <w:sz w:val="20"/>
        </w:rPr>
      </w:pPr>
      <w:r>
        <w:rPr>
          <w:rFonts w:cs="Arial" w:ascii="Arial" w:hAnsi="Arial"/>
          <w:b/>
          <w:sz w:val="20"/>
        </w:rPr>
      </w:r>
    </w:p>
    <w:p>
      <w:pPr>
        <w:pStyle w:val="Heading1"/>
        <w:ind w:start="4230" w:end="0"/>
        <w:rPr>
          <w:sz w:val="28"/>
        </w:rPr>
      </w:pPr>
      <w:r>
        <w:rPr>
          <w:sz w:val="28"/>
        </w:rPr>
        <w:t>INTEROFFICE</w:t>
      </w:r>
    </w:p>
    <w:p>
      <w:pPr>
        <w:pStyle w:val="Heading2"/>
        <w:rPr>
          <w:sz w:val="28"/>
        </w:rPr>
      </w:pPr>
      <w:r>
        <w:rPr>
          <w:sz w:val="28"/>
        </w:rPr>
        <w:t>MEMORANDUM</w:t>
      </w:r>
    </w:p>
    <w:p>
      <w:pPr>
        <w:pStyle w:val="Footer"/>
        <w:tabs>
          <w:tab w:val="clear" w:pos="4320"/>
          <w:tab w:val="clear" w:pos="8640"/>
        </w:tabs>
        <w:rPr>
          <w:rFonts w:ascii="Arial" w:hAnsi="Arial" w:cs="Arial"/>
          <w:sz w:val="28"/>
        </w:rPr>
      </w:pPr>
      <w:r>
        <w:rPr>
          <w:rFonts w:cs="Arial" w:ascii="Arial" w:hAnsi="Arial"/>
          <w:sz w:val="28"/>
        </w:rPr>
      </w:r>
    </w:p>
    <w:p>
      <w:pPr>
        <w:pStyle w:val="Heading4"/>
        <w:ind w:hanging="0" w:start="0"/>
        <w:rPr>
          <w:rFonts w:ascii="Arial" w:hAnsi="Arial" w:cs="Arial"/>
          <w:sz w:val="20"/>
        </w:rPr>
      </w:pPr>
      <w:r>
        <w:rPr>
          <w:rFonts w:cs="Arial" w:ascii="Arial" w:hAnsi="Arial"/>
          <w:sz w:val="20"/>
        </w:rPr>
        <w:t>PRIVILEGED AND CONFIDENTIAL</w:t>
      </w:r>
    </w:p>
    <w:p>
      <w:pPr>
        <w:pStyle w:val="Normal"/>
        <w:jc w:val="end"/>
        <w:rPr>
          <w:rFonts w:ascii="Arial" w:hAnsi="Arial" w:cs="Arial"/>
          <w:b/>
          <w:sz w:val="20"/>
        </w:rPr>
      </w:pPr>
      <w:r>
        <w:rPr>
          <w:rFonts w:cs="Arial" w:ascii="Arial" w:hAnsi="Arial"/>
          <w:b/>
          <w:sz w:val="20"/>
        </w:rPr>
        <w:t>ATTORNEY WORK PRODUCT</w:t>
      </w:r>
    </w:p>
    <w:p>
      <w:pPr>
        <w:pStyle w:val="Normal"/>
        <w:tabs>
          <w:tab w:val="clear" w:pos="720"/>
          <w:tab w:val="right" w:pos="8640" w:leader="none"/>
        </w:tabs>
        <w:jc w:val="both"/>
        <w:rPr>
          <w:rFonts w:ascii="Arial" w:hAnsi="Arial" w:cs="Arial"/>
          <w:b/>
          <w:sz w:val="20"/>
        </w:rPr>
      </w:pPr>
      <w:r>
        <w:rPr>
          <w:rFonts w:cs="Arial" w:ascii="Arial" w:hAnsi="Arial"/>
          <w:b/>
          <w:sz w:val="20"/>
        </w:rPr>
      </w:r>
    </w:p>
    <w:tbl>
      <w:tblPr>
        <w:tblW w:w="9648" w:type="dxa"/>
        <w:jc w:val="start"/>
        <w:tblInd w:w="0" w:type="dxa"/>
        <w:tblLayout w:type="fixed"/>
        <w:tblCellMar>
          <w:top w:w="0" w:type="dxa"/>
          <w:start w:w="108" w:type="dxa"/>
          <w:bottom w:w="0" w:type="dxa"/>
          <w:end w:w="108" w:type="dxa"/>
        </w:tblCellMar>
      </w:tblPr>
      <w:tblGrid>
        <w:gridCol w:w="1569"/>
        <w:gridCol w:w="3762"/>
        <w:gridCol w:w="1673"/>
        <w:gridCol w:w="475"/>
        <w:gridCol w:w="279"/>
        <w:gridCol w:w="1890"/>
      </w:tblGrid>
      <w:tr>
        <w:trPr/>
        <w:tc>
          <w:tcPr>
            <w:tcW w:w="1569" w:type="dxa"/>
            <w:tcBorders/>
          </w:tcPr>
          <w:p>
            <w:pPr>
              <w:pStyle w:val="Normal"/>
              <w:rPr>
                <w:rFonts w:ascii="Arial" w:hAnsi="Arial" w:cs="Arial"/>
                <w:sz w:val="20"/>
              </w:rPr>
            </w:pPr>
            <w:r>
              <w:rPr>
                <w:rFonts w:cs="Arial" w:ascii="Arial" w:hAnsi="Arial"/>
                <w:b/>
                <w:sz w:val="20"/>
              </w:rPr>
              <w:t>TO:</w:t>
            </w:r>
          </w:p>
        </w:tc>
        <w:tc>
          <w:tcPr>
            <w:tcW w:w="3762" w:type="dxa"/>
            <w:tcBorders/>
          </w:tcPr>
          <w:p>
            <w:pPr>
              <w:pStyle w:val="Normal"/>
              <w:rPr>
                <w:rFonts w:ascii="Arial" w:hAnsi="Arial" w:cs="Arial"/>
                <w:sz w:val="20"/>
              </w:rPr>
            </w:pPr>
            <w:r>
              <w:rPr>
                <w:rFonts w:cs="Arial" w:ascii="Arial" w:hAnsi="Arial"/>
                <w:sz w:val="20"/>
              </w:rPr>
              <w:t>Mark Haedicke</w:t>
            </w:r>
          </w:p>
          <w:p>
            <w:pPr>
              <w:pStyle w:val="Normal"/>
              <w:rPr>
                <w:rFonts w:ascii="Arial" w:hAnsi="Arial" w:cs="Arial"/>
                <w:sz w:val="20"/>
              </w:rPr>
            </w:pPr>
            <w:r>
              <w:rPr>
                <w:rFonts w:cs="Arial" w:ascii="Arial" w:hAnsi="Arial"/>
                <w:sz w:val="20"/>
              </w:rPr>
              <w:t>Sheila Tweed</w:t>
            </w:r>
          </w:p>
          <w:p>
            <w:pPr>
              <w:pStyle w:val="Normal"/>
              <w:rPr>
                <w:rFonts w:ascii="Arial" w:hAnsi="Arial" w:cs="Arial"/>
                <w:sz w:val="20"/>
              </w:rPr>
            </w:pPr>
            <w:r>
              <w:rPr>
                <w:rFonts w:cs="Arial" w:ascii="Arial" w:hAnsi="Arial"/>
                <w:sz w:val="20"/>
              </w:rPr>
              <w:t>Chris Calger</w:t>
            </w:r>
          </w:p>
          <w:p>
            <w:pPr>
              <w:pStyle w:val="Normal"/>
              <w:rPr>
                <w:rFonts w:ascii="Arial" w:hAnsi="Arial" w:cs="Arial"/>
                <w:sz w:val="20"/>
              </w:rPr>
            </w:pPr>
            <w:r>
              <w:rPr>
                <w:rFonts w:cs="Arial" w:ascii="Arial" w:hAnsi="Arial"/>
                <w:sz w:val="20"/>
              </w:rPr>
              <w:t>Jake Thomas</w:t>
            </w:r>
          </w:p>
        </w:tc>
        <w:tc>
          <w:tcPr>
            <w:tcW w:w="2427" w:type="dxa"/>
            <w:gridSpan w:val="3"/>
            <w:tcBorders/>
          </w:tcPr>
          <w:p>
            <w:pPr>
              <w:pStyle w:val="Normal"/>
              <w:snapToGrid w:val="false"/>
              <w:rPr>
                <w:rFonts w:ascii="Arial" w:hAnsi="Arial" w:cs="Arial"/>
                <w:sz w:val="20"/>
              </w:rPr>
            </w:pPr>
            <w:r>
              <w:rPr>
                <w:rFonts w:cs="Arial" w:ascii="Arial" w:hAnsi="Arial"/>
                <w:sz w:val="20"/>
              </w:rPr>
            </w:r>
          </w:p>
        </w:tc>
        <w:tc>
          <w:tcPr>
            <w:tcW w:w="1890" w:type="dxa"/>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snapToGrid w:val="false"/>
              <w:rPr>
                <w:rFonts w:ascii="Arial" w:hAnsi="Arial" w:cs="Arial"/>
                <w:sz w:val="20"/>
              </w:rPr>
            </w:pPr>
            <w:r>
              <w:rPr>
                <w:rFonts w:cs="Arial" w:ascii="Arial" w:hAnsi="Arial"/>
                <w:sz w:val="20"/>
              </w:rPr>
            </w:r>
          </w:p>
        </w:tc>
        <w:tc>
          <w:tcPr>
            <w:tcW w:w="3762" w:type="dxa"/>
            <w:tcBorders/>
          </w:tcPr>
          <w:p>
            <w:pPr>
              <w:pStyle w:val="Normal"/>
              <w:snapToGrid w:val="false"/>
              <w:rPr>
                <w:rFonts w:ascii="Arial" w:hAnsi="Arial" w:cs="Arial"/>
                <w:sz w:val="20"/>
              </w:rPr>
            </w:pPr>
            <w:r>
              <w:rPr>
                <w:rFonts w:cs="Arial" w:ascii="Arial" w:hAnsi="Arial"/>
                <w:sz w:val="20"/>
              </w:rPr>
            </w:r>
          </w:p>
        </w:tc>
        <w:tc>
          <w:tcPr>
            <w:tcW w:w="2148" w:type="dxa"/>
            <w:gridSpan w:val="2"/>
            <w:tcBorders/>
          </w:tcPr>
          <w:p>
            <w:pPr>
              <w:pStyle w:val="Normal"/>
              <w:snapToGrid w:val="false"/>
              <w:rPr>
                <w:rFonts w:ascii="Arial" w:hAnsi="Arial" w:cs="Arial"/>
                <w:sz w:val="20"/>
              </w:rPr>
            </w:pPr>
            <w:r>
              <w:rPr>
                <w:rFonts w:cs="Arial" w:ascii="Arial" w:hAnsi="Arial"/>
                <w:sz w:val="20"/>
              </w:rPr>
            </w:r>
          </w:p>
        </w:tc>
        <w:tc>
          <w:tcPr>
            <w:tcW w:w="2169" w:type="dxa"/>
            <w:gridSpan w:val="2"/>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rPr>
                <w:rFonts w:ascii="Arial" w:hAnsi="Arial" w:cs="Arial"/>
                <w:sz w:val="20"/>
              </w:rPr>
            </w:pPr>
            <w:r>
              <w:rPr>
                <w:rFonts w:cs="Arial" w:ascii="Arial" w:hAnsi="Arial"/>
                <w:b/>
                <w:sz w:val="20"/>
              </w:rPr>
              <w:t>FROM:</w:t>
            </w:r>
          </w:p>
        </w:tc>
        <w:tc>
          <w:tcPr>
            <w:tcW w:w="3762" w:type="dxa"/>
            <w:tcBorders/>
          </w:tcPr>
          <w:p>
            <w:pPr>
              <w:pStyle w:val="Normal"/>
              <w:rPr>
                <w:rFonts w:ascii="Arial" w:hAnsi="Arial" w:cs="Arial"/>
                <w:sz w:val="20"/>
              </w:rPr>
            </w:pPr>
            <w:r>
              <w:rPr>
                <w:rFonts w:cs="Arial" w:ascii="Arial" w:hAnsi="Arial"/>
                <w:sz w:val="20"/>
              </w:rPr>
              <w:t>Alan S. Larsen</w:t>
            </w:r>
          </w:p>
        </w:tc>
        <w:tc>
          <w:tcPr>
            <w:tcW w:w="2148" w:type="dxa"/>
            <w:gridSpan w:val="2"/>
            <w:tcBorders/>
          </w:tcPr>
          <w:p>
            <w:pPr>
              <w:pStyle w:val="Normal"/>
              <w:rPr>
                <w:rFonts w:ascii="Arial" w:hAnsi="Arial" w:cs="Arial"/>
                <w:sz w:val="20"/>
              </w:rPr>
            </w:pPr>
            <w:r>
              <w:rPr>
                <w:rFonts w:cs="Arial" w:ascii="Arial" w:hAnsi="Arial"/>
                <w:b/>
                <w:sz w:val="20"/>
              </w:rPr>
              <w:t>DEPARTMENT:</w:t>
            </w:r>
          </w:p>
        </w:tc>
        <w:tc>
          <w:tcPr>
            <w:tcW w:w="2169" w:type="dxa"/>
            <w:gridSpan w:val="2"/>
            <w:tcBorders/>
          </w:tcPr>
          <w:p>
            <w:pPr>
              <w:pStyle w:val="Normal"/>
              <w:rPr>
                <w:rFonts w:ascii="Arial" w:hAnsi="Arial" w:cs="Arial"/>
                <w:sz w:val="20"/>
              </w:rPr>
            </w:pPr>
            <w:r>
              <w:rPr>
                <w:rFonts w:cs="Arial" w:ascii="Arial" w:hAnsi="Arial"/>
                <w:sz w:val="20"/>
              </w:rPr>
              <w:t>ENA Legal – Portland</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2148" w:type="dxa"/>
            <w:gridSpan w:val="2"/>
            <w:tcBorders/>
          </w:tcPr>
          <w:p>
            <w:pPr>
              <w:pStyle w:val="Normal"/>
              <w:snapToGrid w:val="false"/>
              <w:rPr>
                <w:rFonts w:ascii="Arial" w:hAnsi="Arial" w:cs="Arial"/>
                <w:b/>
                <w:sz w:val="20"/>
              </w:rPr>
            </w:pPr>
            <w:r>
              <w:rPr>
                <w:rFonts w:cs="Arial" w:ascii="Arial" w:hAnsi="Arial"/>
                <w:b/>
                <w:sz w:val="20"/>
              </w:rPr>
            </w:r>
          </w:p>
        </w:tc>
        <w:tc>
          <w:tcPr>
            <w:tcW w:w="2169" w:type="dxa"/>
            <w:gridSpan w:val="2"/>
            <w:tcBorders/>
          </w:tcPr>
          <w:p>
            <w:pPr>
              <w:pStyle w:val="Normal"/>
              <w:snapToGrid w:val="false"/>
              <w:rPr>
                <w:rFonts w:ascii="Arial" w:hAnsi="Arial" w:cs="Arial"/>
                <w:b/>
                <w:sz w:val="20"/>
              </w:rPr>
            </w:pPr>
            <w:r>
              <w:rPr>
                <w:rFonts w:cs="Arial" w:ascii="Arial" w:hAnsi="Arial"/>
                <w:b/>
                <w:sz w:val="20"/>
              </w:rPr>
            </w:r>
          </w:p>
        </w:tc>
      </w:tr>
      <w:tr>
        <w:trPr/>
        <w:tc>
          <w:tcPr>
            <w:tcW w:w="1569" w:type="dxa"/>
            <w:tcBorders/>
          </w:tcPr>
          <w:p>
            <w:pPr>
              <w:pStyle w:val="Normal"/>
              <w:rPr>
                <w:rFonts w:ascii="Arial" w:hAnsi="Arial" w:cs="Arial"/>
                <w:sz w:val="20"/>
              </w:rPr>
            </w:pPr>
            <w:r>
              <w:rPr>
                <w:rFonts w:cs="Arial" w:ascii="Arial" w:hAnsi="Arial"/>
                <w:b/>
                <w:sz w:val="20"/>
              </w:rPr>
              <w:t>SUBJECT:</w:t>
            </w:r>
          </w:p>
        </w:tc>
        <w:tc>
          <w:tcPr>
            <w:tcW w:w="3762" w:type="dxa"/>
            <w:tcBorders/>
          </w:tcPr>
          <w:p>
            <w:pPr>
              <w:pStyle w:val="Normal"/>
              <w:rPr>
                <w:rFonts w:ascii="Arial" w:hAnsi="Arial" w:cs="Arial"/>
                <w:sz w:val="20"/>
              </w:rPr>
            </w:pPr>
            <w:r>
              <w:rPr>
                <w:rFonts w:cs="Arial" w:ascii="Arial" w:hAnsi="Arial"/>
                <w:sz w:val="20"/>
              </w:rPr>
              <w:t>Legal Risks:  Executing Power Purchase Agreement with Public Service Co. of Colorado</w:t>
            </w:r>
          </w:p>
        </w:tc>
        <w:tc>
          <w:tcPr>
            <w:tcW w:w="1673" w:type="dxa"/>
            <w:tcBorders/>
          </w:tcPr>
          <w:p>
            <w:pPr>
              <w:pStyle w:val="Normal"/>
              <w:rPr>
                <w:rFonts w:ascii="Arial" w:hAnsi="Arial" w:cs="Arial"/>
                <w:sz w:val="20"/>
              </w:rPr>
            </w:pPr>
            <w:r>
              <w:rPr>
                <w:rFonts w:cs="Arial" w:ascii="Arial" w:hAnsi="Arial"/>
                <w:b/>
                <w:sz w:val="20"/>
              </w:rPr>
              <w:t>DATE:</w:t>
            </w:r>
          </w:p>
        </w:tc>
        <w:tc>
          <w:tcPr>
            <w:tcW w:w="2644" w:type="dxa"/>
            <w:gridSpan w:val="3"/>
            <w:tcBorders/>
          </w:tcPr>
          <w:p>
            <w:pPr>
              <w:pStyle w:val="Normal"/>
              <w:rPr>
                <w:rFonts w:ascii="Arial" w:hAnsi="Arial" w:cs="Arial"/>
                <w:sz w:val="20"/>
              </w:rPr>
            </w:pPr>
            <w:r>
              <w:rPr>
                <w:rFonts w:cs="Arial" w:ascii="Arial" w:hAnsi="Arial"/>
                <w:sz w:val="20"/>
              </w:rPr>
              <w:t>October 10, 2000</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1673" w:type="dxa"/>
            <w:tcBorders/>
          </w:tcPr>
          <w:p>
            <w:pPr>
              <w:pStyle w:val="Normal"/>
              <w:snapToGrid w:val="false"/>
              <w:rPr>
                <w:rFonts w:ascii="Arial" w:hAnsi="Arial" w:cs="Arial"/>
                <w:b/>
                <w:sz w:val="20"/>
              </w:rPr>
            </w:pPr>
            <w:r>
              <w:rPr>
                <w:rFonts w:cs="Arial" w:ascii="Arial" w:hAnsi="Arial"/>
                <w:b/>
                <w:sz w:val="20"/>
              </w:rPr>
            </w:r>
          </w:p>
        </w:tc>
        <w:tc>
          <w:tcPr>
            <w:tcW w:w="2644" w:type="dxa"/>
            <w:gridSpan w:val="3"/>
            <w:tcBorders/>
          </w:tcPr>
          <w:p>
            <w:pPr>
              <w:pStyle w:val="Normal"/>
              <w:snapToGrid w:val="false"/>
              <w:rPr>
                <w:rFonts w:ascii="Arial" w:hAnsi="Arial" w:cs="Arial"/>
                <w:b/>
                <w:sz w:val="20"/>
              </w:rPr>
            </w:pPr>
            <w:r>
              <w:rPr>
                <w:rFonts w:cs="Arial" w:ascii="Arial" w:hAnsi="Arial"/>
                <w:b/>
                <w:sz w:val="20"/>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Arial" w:hAnsi="Arial" w:cs="Arial"/>
          <w:sz w:val="20"/>
        </w:rPr>
      </w:pPr>
      <w:r>
        <w:rPr>
          <w:rFonts w:cs="Arial" w:ascii="Arial" w:hAnsi="Arial"/>
          <w:sz w:val="20"/>
        </w:rPr>
      </w:r>
    </w:p>
    <w:p>
      <w:pPr>
        <w:pStyle w:val="BodyText"/>
        <w:rPr>
          <w:rFonts w:ascii="Arial" w:hAnsi="Arial" w:cs="Arial"/>
          <w:sz w:val="20"/>
        </w:rPr>
      </w:pPr>
      <w:r>
        <w:rPr>
          <w:rFonts w:cs="Arial"/>
          <w:sz w:val="20"/>
        </w:rPr>
      </w:r>
    </w:p>
    <w:p>
      <w:pPr>
        <w:pStyle w:val="BodyText"/>
        <w:rPr/>
      </w:pPr>
      <w:r>
        <w:rPr>
          <w:b/>
          <w:sz w:val="20"/>
        </w:rPr>
        <w:t>LEGAL RISK RATING:  2</w:t>
      </w:r>
      <w:r>
        <w:rPr>
          <w:sz w:val="20"/>
        </w:rPr>
        <w:t xml:space="preserve"> (1 being low risk, and 5 being high risk)</w:t>
      </w:r>
    </w:p>
    <w:p>
      <w:pPr>
        <w:pStyle w:val="BodyText"/>
        <w:rPr>
          <w:sz w:val="20"/>
        </w:rPr>
      </w:pPr>
      <w:r>
        <w:rPr>
          <w:sz w:val="20"/>
        </w:rPr>
      </w:r>
    </w:p>
    <w:p>
      <w:pPr>
        <w:pStyle w:val="BodyText"/>
        <w:rPr/>
      </w:pPr>
      <w:r>
        <w:rPr>
          <w:b/>
          <w:sz w:val="20"/>
        </w:rPr>
        <w:t>Project Description</w:t>
      </w:r>
      <w:r>
        <w:rPr>
          <w:sz w:val="20"/>
        </w:rPr>
        <w:t>:</w:t>
      </w:r>
    </w:p>
    <w:p>
      <w:pPr>
        <w:pStyle w:val="BodyText"/>
        <w:ind w:firstLine="360" w:end="0"/>
        <w:rPr>
          <w:sz w:val="20"/>
        </w:rPr>
      </w:pPr>
      <w:r>
        <w:rPr>
          <w:sz w:val="20"/>
        </w:rPr>
        <w:t xml:space="preserve">--ENA successful bidder on RFP from Public Service Co. of Colorado (PSCo) </w:t>
      </w:r>
    </w:p>
    <w:p>
      <w:pPr>
        <w:pStyle w:val="BodyText"/>
        <w:ind w:firstLine="360" w:end="0"/>
        <w:rPr>
          <w:sz w:val="20"/>
        </w:rPr>
      </w:pPr>
      <w:r>
        <w:rPr>
          <w:sz w:val="20"/>
        </w:rPr>
        <w:t>--Fountain Valley Power, L.L.C. formed as a project company to develop a 225 MW power plant consisting of 6 LM6000 CTs near Colorado Springs, CO, for commercial operation in summer 2001</w:t>
      </w:r>
    </w:p>
    <w:p>
      <w:pPr>
        <w:pStyle w:val="BodyText"/>
        <w:ind w:firstLine="360" w:end="0"/>
        <w:rPr>
          <w:sz w:val="20"/>
        </w:rPr>
      </w:pPr>
      <w:r>
        <w:rPr>
          <w:sz w:val="20"/>
        </w:rPr>
        <w:t xml:space="preserve">-- FVP proposes to enter into an 11-year power purchase agreement with PSCo for the off-take of the project. </w:t>
      </w:r>
    </w:p>
    <w:p>
      <w:pPr>
        <w:pStyle w:val="BodyText"/>
        <w:ind w:firstLine="360" w:end="0"/>
        <w:rPr>
          <w:sz w:val="20"/>
        </w:rPr>
      </w:pPr>
      <w:r>
        <w:rPr>
          <w:sz w:val="20"/>
        </w:rPr>
        <w:t xml:space="preserve">--The specific question presented is whether to execute this PPA.  </w:t>
      </w:r>
    </w:p>
    <w:p>
      <w:pPr>
        <w:pStyle w:val="BodyText"/>
        <w:ind w:firstLine="360" w:end="0"/>
        <w:rPr>
          <w:sz w:val="20"/>
        </w:rPr>
      </w:pPr>
      <w:r>
        <w:rPr>
          <w:sz w:val="20"/>
        </w:rPr>
      </w:r>
    </w:p>
    <w:p>
      <w:pPr>
        <w:pStyle w:val="BodyText"/>
        <w:rPr/>
      </w:pPr>
      <w:r>
        <w:rPr>
          <w:b/>
          <w:sz w:val="20"/>
        </w:rPr>
        <w:t>Summary of Risk</w:t>
      </w:r>
      <w:r>
        <w:rPr>
          <w:sz w:val="20"/>
        </w:rPr>
        <w:t>:</w:t>
      </w:r>
    </w:p>
    <w:p>
      <w:pPr>
        <w:pStyle w:val="BodyText"/>
        <w:rPr>
          <w:sz w:val="20"/>
        </w:rPr>
      </w:pPr>
      <w:r>
        <w:rPr>
          <w:rFonts w:eastAsia="Arial"/>
          <w:sz w:val="20"/>
        </w:rPr>
        <w:t xml:space="preserve">       </w:t>
      </w:r>
      <w:r>
        <w:rPr>
          <w:sz w:val="20"/>
        </w:rPr>
        <w:t>--Because of timing demanded by PSCo, driven by pressure from the Colorado PUC, we would be executing a contract for a firm commitment now, subject to conditions</w:t>
        <w:tab/>
      </w:r>
    </w:p>
    <w:p>
      <w:pPr>
        <w:pStyle w:val="BodyText"/>
        <w:ind w:firstLine="360" w:end="0"/>
        <w:rPr>
          <w:sz w:val="20"/>
        </w:rPr>
      </w:pPr>
      <w:r>
        <w:rPr>
          <w:sz w:val="20"/>
        </w:rPr>
        <w:t>--Those conditions precedent in the PPA include obtaining satisfactory results from due diligence review, obtaining required permits, and  Enron Board of Directors approval.</w:t>
      </w:r>
    </w:p>
    <w:p>
      <w:pPr>
        <w:pStyle w:val="BodyText2"/>
        <w:rPr/>
      </w:pPr>
      <w:r>
        <w:rPr>
          <w:rFonts w:eastAsia="Arial"/>
        </w:rPr>
        <w:t xml:space="preserve">       </w:t>
      </w:r>
      <w:r>
        <w:rPr/>
        <w:t>--ENA would be committing to spend $3-4 million dollars between date of PPA execution and December 1 due diligence date, while due diligence could reveal deal breaking problem</w:t>
      </w:r>
    </w:p>
    <w:p>
      <w:pPr>
        <w:pStyle w:val="Normal"/>
        <w:rPr>
          <w:rFonts w:ascii="Arial" w:hAnsi="Arial" w:eastAsia="Arial" w:cs="Arial"/>
          <w:sz w:val="20"/>
        </w:rPr>
      </w:pPr>
      <w:r>
        <w:rPr>
          <w:rFonts w:eastAsia="Arial" w:cs="Arial" w:ascii="Arial" w:hAnsi="Arial"/>
          <w:sz w:val="20"/>
        </w:rPr>
        <w:t xml:space="preserve"> </w:t>
      </w:r>
    </w:p>
    <w:p>
      <w:pPr>
        <w:pStyle w:val="Foot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Executing the PPA as negotiated presents the following legal risks.</w:t>
      </w:r>
    </w:p>
    <w:p>
      <w:pPr>
        <w:pStyle w:val="Normal"/>
        <w:ind w:firstLine="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 Due Diligence.  FVP obligations contingent upon satisfactory completion of due diligence review by December 1, 2000.</w:t>
      </w:r>
    </w:p>
    <w:p>
      <w:pPr>
        <w:pStyle w:val="BodyTextIndent"/>
        <w:ind w:firstLine="720" w:start="0" w:end="0"/>
        <w:rPr>
          <w:rFonts w:ascii="Arial" w:hAnsi="Arial" w:cs="Arial"/>
        </w:rPr>
      </w:pPr>
      <w:r>
        <w:rPr>
          <w:rFonts w:cs="Arial" w:ascii="Arial" w:hAnsi="Arial"/>
        </w:rPr>
        <w:t xml:space="preserve">--at present, water, land, gas and electrical interconnection all have unresolved issues. </w:t>
      </w:r>
    </w:p>
    <w:p>
      <w:pPr>
        <w:pStyle w:val="BodyTextIndent"/>
        <w:ind w:firstLine="720" w:start="0" w:end="0"/>
        <w:rPr>
          <w:rFonts w:ascii="Arial" w:hAnsi="Arial" w:cs="Arial"/>
        </w:rPr>
      </w:pPr>
      <w:r>
        <w:rPr>
          <w:rFonts w:cs="Arial" w:ascii="Arial" w:hAnsi="Arial"/>
        </w:rPr>
        <w:t>--Water supply arrangements are especially problematical, with both physical and legal problems that may not be solvable at all or at a reasonable price.</w:t>
      </w:r>
    </w:p>
    <w:p>
      <w:pPr>
        <w:pStyle w:val="BodyTextIndent"/>
        <w:ind w:firstLine="720" w:start="0" w:end="0"/>
        <w:rPr>
          <w:rFonts w:ascii="Arial" w:hAnsi="Arial" w:cs="Arial"/>
        </w:rPr>
      </w:pPr>
      <w:r>
        <w:rPr>
          <w:rFonts w:cs="Arial" w:ascii="Arial" w:hAnsi="Arial"/>
        </w:rPr>
        <w:t xml:space="preserve">--Any of these issues may still be unresolved by December 1. </w:t>
      </w:r>
    </w:p>
    <w:p>
      <w:pPr>
        <w:pStyle w:val="BodyTextIndent"/>
        <w:ind w:firstLine="720" w:start="0" w:end="0"/>
        <w:rPr>
          <w:rFonts w:ascii="Arial" w:hAnsi="Arial" w:cs="Arial"/>
        </w:rPr>
      </w:pPr>
      <w:r>
        <w:rPr>
          <w:rFonts w:cs="Arial" w:ascii="Arial" w:hAnsi="Arial"/>
        </w:rPr>
        <w:t>--However, FVP has the right to notify PSCo by that date that due diligence has not been satisfied and FVP would thereby not be obligated to perform under the PPA</w:t>
      </w:r>
    </w:p>
    <w:p>
      <w:pPr>
        <w:pStyle w:val="BodyText"/>
        <w:rPr>
          <w:rFonts w:ascii="Arial" w:hAnsi="Arial" w:cs="Arial"/>
          <w:sz w:val="20"/>
        </w:rPr>
      </w:pPr>
      <w:r>
        <w:rPr>
          <w:rFonts w:cs="Arial"/>
          <w:sz w:val="20"/>
        </w:rPr>
      </w:r>
    </w:p>
    <w:p>
      <w:pPr>
        <w:pStyle w:val="BodyText"/>
        <w:numPr>
          <w:ilvl w:val="0"/>
          <w:numId w:val="3"/>
        </w:numPr>
        <w:tabs>
          <w:tab w:val="clear" w:pos="720"/>
          <w:tab w:val="left" w:pos="0" w:leader="none"/>
        </w:tabs>
        <w:ind w:hanging="0" w:start="0" w:end="0"/>
        <w:rPr>
          <w:sz w:val="20"/>
        </w:rPr>
      </w:pPr>
      <w:r>
        <w:rPr>
          <w:sz w:val="20"/>
        </w:rPr>
        <w:t xml:space="preserve">Regulatory termination and damages.  If FVP were to become regulated as a utility as a result of its ownership and operation of the plant, FVP could terminate the project.  </w:t>
      </w:r>
    </w:p>
    <w:p>
      <w:pPr>
        <w:pStyle w:val="BodyText"/>
        <w:ind w:firstLine="720" w:end="0"/>
        <w:rPr>
          <w:sz w:val="20"/>
        </w:rPr>
      </w:pPr>
      <w:r>
        <w:rPr>
          <w:sz w:val="20"/>
        </w:rPr>
        <w:t>--PSCo insists upon termination damages in that circumstance equal to net present value of PSCO’s projected gains, losses and transaction costs through the remaining contract term.</w:t>
      </w:r>
    </w:p>
    <w:p>
      <w:pPr>
        <w:pStyle w:val="BodyText"/>
        <w:ind w:firstLine="720" w:end="0"/>
        <w:rPr>
          <w:sz w:val="20"/>
        </w:rPr>
      </w:pPr>
      <w:r>
        <w:rPr>
          <w:sz w:val="20"/>
        </w:rPr>
        <w:t>--Before any such regulation as a utility became effective, however, ENA would have a reasonable amount of notice and could sell the project</w:t>
      </w:r>
    </w:p>
    <w:p>
      <w:pPr>
        <w:pStyle w:val="Normal"/>
        <w:rPr>
          <w:rFonts w:ascii="Arial" w:hAnsi="Arial" w:cs="Arial"/>
          <w:sz w:val="20"/>
        </w:rPr>
      </w:pPr>
      <w:r>
        <w:rPr>
          <w:rFonts w:cs="Arial" w:ascii="Arial" w:hAnsi="Arial"/>
          <w:sz w:val="20"/>
        </w:rPr>
      </w:r>
    </w:p>
    <w:p>
      <w:pPr>
        <w:pStyle w:val="BodyText"/>
        <w:rPr>
          <w:sz w:val="20"/>
        </w:rPr>
      </w:pPr>
      <w:r>
        <w:rPr>
          <w:sz w:val="20"/>
        </w:rPr>
        <w:t xml:space="preserve">3.   Security and Damages.  Damages payable by FVP are generally capped at $15.6 million.  However, certain categories of claims would not be subject to that cap.  </w:t>
      </w:r>
    </w:p>
    <w:p>
      <w:pPr>
        <w:pStyle w:val="BodyText"/>
        <w:ind w:firstLine="720" w:end="0"/>
        <w:rPr/>
      </w:pPr>
      <w:r>
        <w:rPr>
          <w:sz w:val="20"/>
        </w:rPr>
        <w:t>--</w:t>
      </w:r>
      <w:r>
        <w:rPr>
          <w:sz w:val="20"/>
          <w:u w:val="single"/>
        </w:rPr>
        <w:t>Separate caps</w:t>
      </w:r>
      <w:r>
        <w:rPr>
          <w:sz w:val="20"/>
        </w:rPr>
        <w:t>. Of these carve-outs, all but one would be subject to separate caps:</w:t>
      </w:r>
    </w:p>
    <w:p>
      <w:pPr>
        <w:pStyle w:val="BodyText"/>
        <w:numPr>
          <w:ilvl w:val="0"/>
          <w:numId w:val="6"/>
        </w:numPr>
        <w:rPr>
          <w:sz w:val="20"/>
        </w:rPr>
      </w:pPr>
      <w:r>
        <w:rPr>
          <w:sz w:val="20"/>
        </w:rPr>
        <w:t>Sale by FVP to a third party of the capacity and energy committed to PSCo under the contract (essentially an intentional diversion within our control), capped at $84 million.</w:t>
      </w:r>
    </w:p>
    <w:p>
      <w:pPr>
        <w:pStyle w:val="BodyText"/>
        <w:numPr>
          <w:ilvl w:val="0"/>
          <w:numId w:val="6"/>
        </w:numPr>
        <w:rPr>
          <w:sz w:val="20"/>
        </w:rPr>
      </w:pPr>
      <w:r>
        <w:rPr>
          <w:sz w:val="20"/>
        </w:rPr>
        <w:t>Failure by FVP to apply insurance to reconstruction of the plant following a casualty, capped at the amount of such insurance proceeds</w:t>
      </w:r>
    </w:p>
    <w:p>
      <w:pPr>
        <w:pStyle w:val="BodyText"/>
        <w:numPr>
          <w:ilvl w:val="0"/>
          <w:numId w:val="6"/>
        </w:numPr>
        <w:rPr>
          <w:sz w:val="20"/>
        </w:rPr>
      </w:pPr>
      <w:r>
        <w:rPr>
          <w:rFonts w:eastAsia="Arial"/>
          <w:sz w:val="20"/>
        </w:rPr>
        <w:t xml:space="preserve"> </w:t>
      </w:r>
      <w:r>
        <w:rPr>
          <w:sz w:val="20"/>
        </w:rPr>
        <w:t>Claim by PSCo for indemnification for a FVP breach of the separate interconnection services agreement with PSCo, capped at the amount of undepreciated balance of the cost of PSCo’s interconnection facilities</w:t>
      </w:r>
    </w:p>
    <w:p>
      <w:pPr>
        <w:pStyle w:val="BodyText"/>
        <w:numPr>
          <w:ilvl w:val="0"/>
          <w:numId w:val="6"/>
        </w:numPr>
        <w:rPr>
          <w:sz w:val="20"/>
        </w:rPr>
      </w:pPr>
      <w:r>
        <w:rPr>
          <w:sz w:val="20"/>
        </w:rPr>
        <w:t>Filing of involuntary bankruptcy petition against FVP, or voluntary petition by FVP, capped at $84 million</w:t>
      </w:r>
    </w:p>
    <w:p>
      <w:pPr>
        <w:pStyle w:val="BodyText"/>
        <w:rPr>
          <w:sz w:val="20"/>
        </w:rPr>
      </w:pPr>
      <w:r>
        <w:rPr>
          <w:sz w:val="20"/>
        </w:rPr>
      </w:r>
    </w:p>
    <w:p>
      <w:pPr>
        <w:pStyle w:val="BodyText"/>
        <w:rPr/>
      </w:pPr>
      <w:r>
        <w:rPr>
          <w:rFonts w:eastAsia="Arial"/>
          <w:sz w:val="20"/>
        </w:rPr>
        <w:t xml:space="preserve">               </w:t>
      </w:r>
      <w:r>
        <w:rPr>
          <w:sz w:val="20"/>
        </w:rPr>
        <w:t>--</w:t>
      </w:r>
      <w:r>
        <w:rPr>
          <w:sz w:val="20"/>
          <w:u w:val="single"/>
        </w:rPr>
        <w:t>Uncapped liability</w:t>
      </w:r>
      <w:r>
        <w:rPr>
          <w:sz w:val="20"/>
        </w:rPr>
        <w:t xml:space="preserve"> for claim by PSCo for indemnification for 1) a claim from a third party caused by FVP’s default under the PPA or the negligent or tortious acts or omissions of FVP, or 2) for environmental contamination arising from FVP’s ownership or operation of the project site. This is a greenfield site, and a CT project, so the environmental risk is knowable and manageable.</w:t>
      </w:r>
    </w:p>
    <w:p>
      <w:pPr>
        <w:pStyle w:val="BodyText"/>
        <w:ind w:start="720" w:end="0"/>
        <w:rPr>
          <w:sz w:val="20"/>
        </w:rPr>
      </w:pPr>
      <w:r>
        <w:rPr>
          <w:sz w:val="20"/>
        </w:rPr>
      </w:r>
    </w:p>
    <w:p>
      <w:pPr>
        <w:pStyle w:val="BodyText"/>
        <w:ind w:firstLine="720" w:end="0"/>
        <w:rPr/>
      </w:pPr>
      <w:r>
        <w:rPr>
          <w:sz w:val="20"/>
        </w:rPr>
        <w:t>--</w:t>
      </w:r>
      <w:r>
        <w:rPr>
          <w:sz w:val="20"/>
          <w:u w:val="single"/>
        </w:rPr>
        <w:t>Replenishment of security</w:t>
      </w:r>
      <w:r>
        <w:rPr>
          <w:sz w:val="20"/>
        </w:rPr>
        <w:t>. The security for these damages must be in one of the following forms, but FVP has the sole discretion to choose which form, and to switch among the forms at any time: 1) irrevocable standby letter of credit, 2) performance bond, or 3) corporate guarantee. Whichever form is chosen, however, the Security must be continuously replenished to the $15.6 million level whenever it has been drawn down to pay a claim.  Because of the replenishment requirement and the uncapped liability for third party and environmental claims, if the corporate guarantee form of security were chosen, Enron Corporation would be exposed to potentially unlimited liability. Further, if FVP has chosen to use the corporate guarantee form, and the credit rating of the parent falls below BBB-, FVP must convert the security to one of the other two forms within 30 days.</w:t>
      </w:r>
    </w:p>
    <w:p>
      <w:pPr>
        <w:pStyle w:val="BodyText"/>
        <w:rPr>
          <w:sz w:val="20"/>
        </w:rPr>
      </w:pPr>
      <w:r>
        <w:rPr>
          <w:sz w:val="20"/>
        </w:rPr>
      </w:r>
    </w:p>
    <w:p>
      <w:pPr>
        <w:pStyle w:val="BodyText2"/>
        <w:numPr>
          <w:ilvl w:val="0"/>
          <w:numId w:val="2"/>
        </w:numPr>
        <w:tabs>
          <w:tab w:val="clear" w:pos="720"/>
          <w:tab w:val="left" w:pos="0" w:leader="none"/>
        </w:tabs>
        <w:ind w:hanging="0" w:start="0" w:end="0"/>
        <w:jc w:val="both"/>
        <w:rPr/>
      </w:pPr>
      <w:r>
        <w:rPr/>
        <w:t xml:space="preserve">Enron Board approval.  PSCo is willing to execute the PPA, subject to Enron Board approval in order to get the contract before the Colorado PUC before Enron would otherwise be ready or willing to sign such a contract.  The condition was therefore inserted with understanding by PSCo that it was a crucial and real condition, not boilerplate.  </w:t>
      </w:r>
    </w:p>
    <w:p>
      <w:pPr>
        <w:pStyle w:val="BodyText2"/>
        <w:ind w:firstLine="720" w:end="0"/>
        <w:jc w:val="both"/>
        <w:rPr/>
      </w:pPr>
      <w:r>
        <w:rPr/>
        <w:t xml:space="preserve">--There is a chance that PSCo could challenge the Board’s exercise of its approval right as having not been done in a commercially reasonable manner.  </w:t>
      </w:r>
    </w:p>
    <w:p>
      <w:pPr>
        <w:pStyle w:val="BodyText2"/>
        <w:ind w:firstLine="720" w:end="0"/>
        <w:jc w:val="both"/>
        <w:rPr/>
      </w:pPr>
      <w:r>
        <w:rPr/>
        <w:t xml:space="preserve">--Possibility of such challenge occurring, or of its being successful, is minimized because the negotiating team has consistently pointed out that Board approval is a necessary step in Enron’s process and because the provision was inserted at the end of negotiations in direct response to PSCo’s request on timing of execution of the PPA.     </w:t>
      </w:r>
    </w:p>
    <w:p>
      <w:pPr>
        <w:pStyle w:val="BodyText2"/>
        <w:jc w:val="both"/>
        <w:rPr/>
      </w:pPr>
      <w:r>
        <w:rPr/>
      </w:r>
    </w:p>
    <w:p>
      <w:pPr>
        <w:pStyle w:val="BodyText"/>
        <w:rPr>
          <w:sz w:val="20"/>
        </w:rPr>
      </w:pPr>
      <w:r>
        <w:rPr>
          <w:sz w:val="20"/>
        </w:rPr>
        <w:t xml:space="preserve">5.  Delay Damages.  If FVP fails to meet the commercial operation date, it would pay delay damages of approximately $22-44,000 per day.    </w:t>
      </w:r>
    </w:p>
    <w:p>
      <w:pPr>
        <w:pStyle w:val="BodyText"/>
        <w:ind w:firstLine="720" w:end="0"/>
        <w:rPr>
          <w:sz w:val="20"/>
        </w:rPr>
      </w:pPr>
      <w:r>
        <w:rPr>
          <w:sz w:val="20"/>
        </w:rPr>
        <w:t xml:space="preserve">--There are no delay damages for failure to meet intermediate milestones.  </w:t>
      </w:r>
    </w:p>
    <w:p>
      <w:pPr>
        <w:pStyle w:val="BodyText"/>
        <w:ind w:firstLine="720" w:end="0"/>
        <w:rPr>
          <w:sz w:val="20"/>
        </w:rPr>
      </w:pPr>
      <w:r>
        <w:rPr>
          <w:sz w:val="20"/>
        </w:rPr>
        <w:t xml:space="preserve">--If FVP does not obtain necessary permits by January 31, 2001, that slips the commercial operation date day-for-day while permit approval slips.  No delay damages are owed in that circumstance.               </w:t>
      </w:r>
    </w:p>
    <w:p>
      <w:pPr>
        <w:pStyle w:val="BodyText"/>
        <w:ind w:firstLine="720" w:end="0"/>
        <w:rPr>
          <w:sz w:val="20"/>
        </w:rPr>
      </w:pPr>
      <w:r>
        <w:rPr>
          <w:sz w:val="20"/>
        </w:rPr>
        <w:t>--If permits are not obtained as of March 1, 2001, either party has the right to give notice to move the commercial operation date to the following year, May 1, 2002.  However, if permits still have not been obtained as of September 30, 2001, either party may declare the project terminated with no payment required to the other party.</w:t>
      </w:r>
    </w:p>
    <w:p>
      <w:pPr>
        <w:pStyle w:val="BodyText"/>
        <w:rPr>
          <w:sz w:val="20"/>
        </w:rPr>
      </w:pPr>
      <w:r>
        <w:rPr>
          <w:sz w:val="20"/>
        </w:rPr>
      </w:r>
    </w:p>
    <w:p>
      <w:pPr>
        <w:pStyle w:val="BodyText"/>
        <w:numPr>
          <w:ilvl w:val="0"/>
          <w:numId w:val="7"/>
        </w:numPr>
        <w:rPr>
          <w:sz w:val="20"/>
        </w:rPr>
      </w:pPr>
      <w:r>
        <w:rPr>
          <w:sz w:val="20"/>
        </w:rPr>
        <w:t xml:space="preserve">Colorado Law.  PSCo has insisted upon specifying that Colorado law governs the interpretation of the contract. </w:t>
      </w:r>
    </w:p>
    <w:p>
      <w:pPr>
        <w:pStyle w:val="BodyText"/>
        <w:ind w:firstLine="360" w:end="0"/>
        <w:rPr>
          <w:sz w:val="20"/>
        </w:rPr>
      </w:pPr>
      <w:r>
        <w:rPr>
          <w:sz w:val="20"/>
        </w:rPr>
        <w:t>--We are represented in this transaction by the Colorado (Denver) office of LeBeouf, Lamb, and there are no issues of contract law unique to Colorado that cause us concern.</w:t>
      </w:r>
    </w:p>
    <w:p>
      <w:pPr>
        <w:pStyle w:val="BodyText"/>
        <w:rPr>
          <w:sz w:val="20"/>
        </w:rPr>
      </w:pPr>
      <w:r>
        <w:rPr>
          <w:sz w:val="20"/>
        </w:rPr>
      </w:r>
    </w:p>
    <w:p>
      <w:pPr>
        <w:pStyle w:val="BodyText"/>
        <w:numPr>
          <w:ilvl w:val="0"/>
          <w:numId w:val="7"/>
        </w:numPr>
        <w:rPr>
          <w:sz w:val="20"/>
        </w:rPr>
      </w:pPr>
      <w:r>
        <w:rPr>
          <w:sz w:val="20"/>
        </w:rPr>
        <w:t xml:space="preserve">Assignment.  No consent from PSCo is required for FVP to assign the PPA to a “Qualified Entity”, which is defined by objective criteria as to size and experience in the industry.  </w:t>
      </w:r>
    </w:p>
    <w:p>
      <w:pPr>
        <w:pStyle w:val="BodyText"/>
        <w:ind w:firstLine="360" w:end="0"/>
        <w:rPr>
          <w:sz w:val="20"/>
        </w:rPr>
      </w:pPr>
      <w:r>
        <w:rPr>
          <w:sz w:val="20"/>
        </w:rPr>
        <w:t>--However, FVP does have to give 30 days advance notice of intent to assign, and PSCo could demand arbitration of this issue of whether the proposed assignee did in fact meet the objective criteria.</w:t>
      </w:r>
    </w:p>
    <w:p>
      <w:pPr>
        <w:pStyle w:val="BodyText"/>
        <w:rPr>
          <w:sz w:val="20"/>
        </w:rPr>
      </w:pPr>
      <w:r>
        <w:rPr>
          <w:sz w:val="20"/>
        </w:rPr>
      </w:r>
    </w:p>
    <w:p>
      <w:pPr>
        <w:pStyle w:val="BodyText"/>
        <w:rPr>
          <w:sz w:val="20"/>
        </w:rPr>
      </w:pPr>
      <w:r>
        <w:rPr>
          <w:sz w:val="20"/>
        </w:rPr>
      </w:r>
    </w:p>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/mnt/main-storage/datasets/enron-docs/doc/Legal_Risk_Memo__FVP_Development-4ae839087dd5a063e9ebddac5ea4506fcbae98c142ff36a96c43a17af12c9328.doc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2"/>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735"/>
        </w:tabs>
        <w:ind w:start="735" w:hanging="360"/>
      </w:pPr>
      <w:rPr/>
    </w:lvl>
  </w:abstractNum>
  <w:abstractNum w:abstractNumId="5">
    <w:lvl w:ilvl="0">
      <w:start w:val="1"/>
      <w:numFmt w:val="decimal"/>
      <w:lvlText w:val="%1."/>
      <w:lvlJc w:val="start"/>
      <w:pPr>
        <w:tabs>
          <w:tab w:val="num" w:pos="375"/>
        </w:tabs>
        <w:ind w:start="375" w:hanging="375"/>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6030" w:end="0"/>
      <w:outlineLvl w:val="0"/>
    </w:pPr>
    <w:rPr>
      <w:rFonts w:ascii="Arial" w:hAnsi="Arial" w:cs="Arial"/>
      <w:b/>
      <w:sz w:val="30"/>
    </w:rPr>
  </w:style>
  <w:style w:type="paragraph" w:styleId="Heading2">
    <w:name w:val="heading 2"/>
    <w:basedOn w:val="Normal"/>
    <w:next w:val="Normal"/>
    <w:qFormat/>
    <w:pPr>
      <w:keepNext w:val="true"/>
      <w:numPr>
        <w:ilvl w:val="1"/>
        <w:numId w:val="1"/>
      </w:numPr>
      <w:ind w:hanging="0" w:start="4230" w:end="0"/>
      <w:outlineLvl w:val="1"/>
    </w:pPr>
    <w:rPr>
      <w:rFonts w:ascii="Arial" w:hAnsi="Arial" w:cs="Arial"/>
      <w:b/>
      <w:sz w:val="3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end"/>
      <w:outlineLvl w:val="3"/>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rFonts w:ascii="Arial" w:hAnsi="Arial" w:cs="Arial"/>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 w:type="paragraph" w:styleId="BodyTextIndent">
    <w:name w:val="Body Text Indent"/>
    <w:basedOn w:val="Normal"/>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2000-11-29T21:08:00Z</dcterms:created>
  <dc:creator>robin jordan</dc:creator>
  <dc:description/>
  <dc:language>en-CA</dc:language>
  <cp:lastModifiedBy>alarsen2</cp:lastModifiedBy>
  <cp:lastPrinted>2000-11-29T15:09:00Z</cp:lastPrinted>
  <dcterms:modified xsi:type="dcterms:W3CDTF">2000-11-30T17:19:00Z</dcterms:modified>
  <cp:revision>5</cp:revision>
  <dc:subject/>
  <dc:title>  	</dc:title>
</cp:coreProperties>
</file>